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March 31, 2026 </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Or</w:t>
      </w:r>
    </w:p>
    <w:tbl>
      <w:tblPr>
        <w:tblW w:w="9507" w:type="dxa"/>
        <w:jc w:val="left"/>
        <w:tblInd w:w="0" w:type="dxa"/>
        <w:tblLayout w:type="fixed"/>
        <w:tblCellMar>
          <w:top w:w="28" w:type="dxa"/>
          <w:left w:w="28" w:type="dxa"/>
          <w:bottom w:w="28" w:type="dxa"/>
          <w:right w:w="28" w:type="dxa"/>
        </w:tblCellMar>
      </w:tblPr>
      <w:tblGrid>
        <w:gridCol w:w="124"/>
        <w:gridCol w:w="109"/>
        <w:gridCol w:w="109"/>
        <w:gridCol w:w="2683"/>
        <w:gridCol w:w="2683"/>
        <w:gridCol w:w="3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80" w:after="283"/>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Commission file number: 001-13253 </w:t>
      </w:r>
    </w:p>
    <w:p>
      <w:pPr>
        <w:pStyle w:val="TextBody"/>
        <w:bidi w:val="0"/>
        <w:spacing w:lineRule="auto" w:line="288" w:before="0" w:after="120"/>
        <w:jc w:val="center"/>
        <w:rPr>
          <w:color w:val="000000"/>
        </w:rPr>
      </w:pPr>
      <w:r>
        <w:rPr>
          <w:color w:val="000000"/>
        </w:rPr>
        <w:t> </w:t>
      </w: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RENASANT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w:t>
      </w:r>
    </w:p>
    <w:tbl>
      <w:tblPr>
        <w:tblW w:w="4180" w:type="dxa"/>
        <w:jc w:val="center"/>
        <w:tblInd w:w="0" w:type="dxa"/>
        <w:tblLayout w:type="fixed"/>
        <w:tblCellMar>
          <w:top w:w="28" w:type="dxa"/>
          <w:left w:w="28" w:type="dxa"/>
          <w:bottom w:w="28" w:type="dxa"/>
          <w:right w:w="28" w:type="dxa"/>
        </w:tblCellMar>
      </w:tblPr>
      <w:tblGrid>
        <w:gridCol w:w="859"/>
        <w:gridCol w:w="753"/>
        <w:gridCol w:w="757"/>
        <w:gridCol w:w="109"/>
        <w:gridCol w:w="109"/>
        <w:gridCol w:w="109"/>
        <w:gridCol w:w="433"/>
        <w:gridCol w:w="433"/>
        <w:gridCol w:w="618"/>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Mississippi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64-0676974</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766" w:type="dxa"/>
        <w:jc w:val="center"/>
        <w:tblInd w:w="0" w:type="dxa"/>
        <w:tblLayout w:type="fixed"/>
        <w:tblCellMar>
          <w:top w:w="28" w:type="dxa"/>
          <w:left w:w="28" w:type="dxa"/>
          <w:bottom w:w="28" w:type="dxa"/>
          <w:right w:w="28" w:type="dxa"/>
        </w:tblCellMar>
      </w:tblPr>
      <w:tblGrid>
        <w:gridCol w:w="543"/>
        <w:gridCol w:w="477"/>
        <w:gridCol w:w="480"/>
        <w:gridCol w:w="249"/>
        <w:gridCol w:w="249"/>
        <w:gridCol w:w="251"/>
        <w:gridCol w:w="345"/>
        <w:gridCol w:w="345"/>
        <w:gridCol w:w="346"/>
        <w:gridCol w:w="109"/>
        <w:gridCol w:w="109"/>
        <w:gridCol w:w="109"/>
        <w:gridCol w:w="337"/>
        <w:gridCol w:w="337"/>
        <w:gridCol w:w="480"/>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209 Troy Street,</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Tupelo,</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Mississippi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38804-4827</w:t>
            </w:r>
          </w:p>
        </w:tc>
      </w:tr>
      <w:tr>
        <w:trPr/>
        <w:tc>
          <w:tcPr>
            <w:tcW w:w="32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(662) 680-1001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798" w:type="dxa"/>
        <w:jc w:val="center"/>
        <w:tblInd w:w="0" w:type="dxa"/>
        <w:tblLayout w:type="fixed"/>
        <w:tblCellMar>
          <w:top w:w="28" w:type="dxa"/>
          <w:left w:w="28" w:type="dxa"/>
          <w:bottom w:w="28" w:type="dxa"/>
          <w:right w:w="28" w:type="dxa"/>
        </w:tblCellMar>
      </w:tblPr>
      <w:tblGrid>
        <w:gridCol w:w="1108"/>
        <w:gridCol w:w="977"/>
        <w:gridCol w:w="990"/>
        <w:gridCol w:w="484"/>
        <w:gridCol w:w="484"/>
        <w:gridCol w:w="486"/>
        <w:gridCol w:w="956"/>
        <w:gridCol w:w="956"/>
        <w:gridCol w:w="1357"/>
      </w:tblGrid>
      <w:tr>
        <w:trPr/>
        <w:tc>
          <w:tcPr>
            <w:tcW w:w="110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$5.00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RNST</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w:t>
            </w:r>
          </w:p>
        </w:tc>
      </w:tr>
    </w:tbl>
    <w:p>
      <w:pPr>
        <w:pStyle w:val="TextBody"/>
        <w:bidi w:val="0"/>
        <w:spacing w:lineRule="auto" w:line="288" w:before="8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 of April 30, 2026, 92,272,120 shares of the registrant’s common stock, par value $5.00 per share, were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Form 10-Q</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March 31, 2026 </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CONTENTS</w:t>
      </w:r>
    </w:p>
    <w:p>
      <w:pPr>
        <w:pStyle w:val="TextBody"/>
        <w:bidi w:val="0"/>
        <w:spacing w:lineRule="auto" w:line="288" w:before="0" w:after="0"/>
        <w:jc w:val="left"/>
        <w:rPr>
          <w:color w:val="000000"/>
        </w:rPr>
      </w:pPr>
      <w:r>
        <w:rPr>
          <w:color w:val="000000"/>
        </w:rPr>
        <w:t xml:space="preserve">  </w:t>
      </w:r>
    </w:p>
    <w:tbl>
      <w:tblPr>
        <w:tblW w:w="8657" w:type="dxa"/>
        <w:jc w:val="left"/>
        <w:tblInd w:w="0" w:type="dxa"/>
        <w:tblLayout w:type="fixed"/>
        <w:tblCellMar>
          <w:top w:w="28" w:type="dxa"/>
          <w:left w:w="28" w:type="dxa"/>
          <w:bottom w:w="28" w:type="dxa"/>
          <w:right w:w="28" w:type="dxa"/>
        </w:tblCellMar>
      </w:tblPr>
      <w:tblGrid>
        <w:gridCol w:w="292"/>
        <w:gridCol w:w="257"/>
        <w:gridCol w:w="262"/>
        <w:gridCol w:w="2452"/>
        <w:gridCol w:w="2452"/>
        <w:gridCol w:w="2461"/>
        <w:gridCol w:w="140"/>
        <w:gridCol w:w="140"/>
        <w:gridCol w:w="201"/>
      </w:tblGrid>
      <w:tr>
        <w:trPr/>
        <w:tc>
          <w:tcPr>
            <w:tcW w:w="2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10">
              <w:r>
                <w:rPr>
                  <w:rStyle w:val="InternetLink"/>
                  <w:rFonts w:ascii="Times New Roman;serif" w:hAnsi="Times New Roman;serif"/>
                  <w:b w:val="false"/>
                  <w:color w:val="0000FF"/>
                  <w:sz w:val="20"/>
                  <w:u w:val="single"/>
                </w:rPr>
                <w:t>Financial Information</w:t>
              </w:r>
            </w:hyperlink>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13">
              <w:r>
                <w:rPr>
                  <w:rStyle w:val="InternetLink"/>
                  <w:rFonts w:ascii="Times New Roman;serif" w:hAnsi="Times New Roman;serif"/>
                  <w:b w:val="false"/>
                  <w:color w:val="0000FF"/>
                  <w:sz w:val="20"/>
                  <w:u w:val="single"/>
                </w:rPr>
                <w:t>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Balance Sheets</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16">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19">
              <w:r>
                <w:rPr>
                  <w:rStyle w:val="InternetLink"/>
                  <w:rFonts w:ascii="Times New Roman;serif" w:hAnsi="Times New Roman;serif"/>
                  <w:b w:val="false"/>
                  <w:color w:val="0000FF"/>
                  <w:sz w:val="20"/>
                  <w:u w:val="single"/>
                </w:rPr>
                <w:t>Consolidated Statements of Income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19">
              <w:r>
                <w:rPr>
                  <w:rStyle w:val="InternetLink"/>
                  <w:rFonts w:ascii="Times New Roman;serif" w:hAnsi="Times New Roman;serif"/>
                  <w:b w:val="false"/>
                  <w:color w:val="0000FF"/>
                  <w:sz w:val="20"/>
                  <w:u w:val="single"/>
                </w:rPr>
                <w:t>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22">
              <w:r>
                <w:rPr>
                  <w:rStyle w:val="InternetLink"/>
                  <w:rFonts w:ascii="Times New Roman;serif" w:hAnsi="Times New Roman;serif"/>
                  <w:b w:val="false"/>
                  <w:color w:val="0000FF"/>
                  <w:sz w:val="20"/>
                  <w:u w:val="single"/>
                </w:rPr>
                <w:t>Consolidated Statements of Comprehensive Income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22">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25">
              <w:r>
                <w:rPr>
                  <w:rStyle w:val="InternetLink"/>
                  <w:rFonts w:ascii="Times New Roman;serif" w:hAnsi="Times New Roman;serif"/>
                  <w:b w:val="false"/>
                  <w:color w:val="0000FF"/>
                  <w:sz w:val="20"/>
                  <w:u w:val="single"/>
                </w:rPr>
                <w:t>Consolidated Statements of Changes in Shareholders’ Equity</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25">
              <w:r>
                <w:rPr>
                  <w:rStyle w:val="InternetLink"/>
                  <w:rFonts w:ascii="Times New Roman;serif" w:hAnsi="Times New Roman;serif"/>
                  <w:b w:val="false"/>
                  <w:color w:val="0000FF"/>
                  <w:sz w:val="20"/>
                  <w:u w:val="single"/>
                </w:rPr>
                <w:t>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28">
              <w:r>
                <w:rPr>
                  <w:rStyle w:val="InternetLink"/>
                  <w:rFonts w:ascii="Times New Roman;serif" w:hAnsi="Times New Roman;serif"/>
                  <w:b w:val="false"/>
                  <w:color w:val="0000FF"/>
                  <w:sz w:val="20"/>
                  <w:u w:val="single"/>
                </w:rPr>
                <w:t>Consolidated Statements of Cash Flows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28">
              <w:r>
                <w:rPr>
                  <w:rStyle w:val="InternetLink"/>
                  <w:rFonts w:ascii="Times New Roman;serif" w:hAnsi="Times New Roman;serif"/>
                  <w:b w:val="false"/>
                  <w:color w:val="0000FF"/>
                  <w:sz w:val="20"/>
                  <w:u w:val="single"/>
                </w:rPr>
                <w:t>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31">
              <w:r>
                <w:rPr>
                  <w:rStyle w:val="InternetLink"/>
                  <w:rFonts w:ascii="Times New Roman;serif" w:hAnsi="Times New Roman;serif"/>
                  <w:b w:val="false"/>
                  <w:color w:val="0000FF"/>
                  <w:sz w:val="20"/>
                  <w:u w:val="single"/>
                </w:rPr>
                <w:t>Notes to Consolidated Financial Statements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31">
              <w:r>
                <w:rPr>
                  <w:rStyle w:val="InternetLink"/>
                  <w:rFonts w:ascii="Times New Roman;serif" w:hAnsi="Times New Roman;serif"/>
                  <w:b w:val="false"/>
                  <w:color w:val="0000FF"/>
                  <w:sz w:val="20"/>
                  <w:u w:val="single"/>
                </w:rPr>
                <w:t>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94">
              <w:r>
                <w:rPr>
                  <w:rStyle w:val="InternetLink"/>
                  <w:rFonts w:ascii="Times New Roman;serif" w:hAnsi="Times New Roman;serif"/>
                  <w:b w:val="false"/>
                  <w:color w:val="0000FF"/>
                  <w:sz w:val="20"/>
                  <w:u w:val="single"/>
                </w:rPr>
                <w:t>40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130">
              <w:r>
                <w:rPr>
                  <w:rStyle w:val="InternetLink"/>
                  <w:rFonts w:ascii="Times New Roman;serif" w:hAnsi="Times New Roman;serif"/>
                  <w:b w:val="false"/>
                  <w:color w:val="0000FF"/>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130">
              <w:r>
                <w:rPr>
                  <w:rStyle w:val="InternetLink"/>
                  <w:rFonts w:ascii="Times New Roman;serif" w:hAnsi="Times New Roman;serif"/>
                  <w:b w:val="false"/>
                  <w:color w:val="0000FF"/>
                  <w:sz w:val="20"/>
                  <w:u w:val="single"/>
                </w:rPr>
                <w:t>60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133">
              <w:r>
                <w:rPr>
                  <w:rStyle w:val="InternetLink"/>
                  <w:rFonts w:ascii="Times New Roman;serif" w:hAnsi="Times New Roman;serif"/>
                  <w:b w:val="false"/>
                  <w:color w:val="0000FF"/>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133">
              <w:r>
                <w:rPr>
                  <w:rStyle w:val="InternetLink"/>
                  <w:rFonts w:ascii="Times New Roman;serif" w:hAnsi="Times New Roman;serif"/>
                  <w:b w:val="false"/>
                  <w:color w:val="0000FF"/>
                  <w:sz w:val="20"/>
                  <w:u w:val="single"/>
                </w:rPr>
                <w:t>60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136">
              <w:r>
                <w:rPr>
                  <w:rStyle w:val="InternetLink"/>
                  <w:rFonts w:ascii="Times New Roman;serif" w:hAnsi="Times New Roman;serif"/>
                  <w:b w:val="false"/>
                  <w:color w:val="0000FF"/>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7365" w:type="dxa"/>
            <w:gridSpan w:val="3"/>
            <w:tcBorders/>
            <w:vAlign w:val="center"/>
          </w:tcPr>
          <w:p>
            <w:pPr>
              <w:pStyle w:val="TableContents"/>
              <w:bidi w:val="0"/>
              <w:spacing w:before="0" w:after="283"/>
              <w:jc w:val="left"/>
              <w:rPr>
                <w:sz w:val="4"/>
                <w:szCs w:val="4"/>
              </w:rPr>
            </w:pPr>
            <w:r>
              <w:rPr>
                <w:sz w:val="4"/>
                <w:szCs w:val="4"/>
              </w:rPr>
            </w:r>
          </w:p>
        </w:tc>
        <w:tc>
          <w:tcPr>
            <w:tcW w:w="481"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139">
              <w:r>
                <w:rPr>
                  <w:rStyle w:val="InternetLink"/>
                  <w:rFonts w:ascii="Times New Roman;serif" w:hAnsi="Times New Roman;serif"/>
                  <w:b w:val="false"/>
                  <w:color w:val="0000FF"/>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139">
              <w:r>
                <w:rPr>
                  <w:rStyle w:val="InternetLink"/>
                  <w:rFonts w:ascii="Times New Roman;serif" w:hAnsi="Times New Roman;serif"/>
                  <w:b w:val="false"/>
                  <w:color w:val="0000FF"/>
                  <w:sz w:val="20"/>
                  <w:u w:val="single"/>
                </w:rPr>
                <w:t>62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142">
              <w:r>
                <w:rPr>
                  <w:rStyle w:val="InternetLink"/>
                  <w:rFonts w:ascii="Times New Roman;serif" w:hAnsi="Times New Roman;serif"/>
                  <w:b w:val="false"/>
                  <w:color w:val="0000FF"/>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142">
              <w:r>
                <w:rPr>
                  <w:rStyle w:val="InternetLink"/>
                  <w:rFonts w:ascii="Times New Roman;serif" w:hAnsi="Times New Roman;serif"/>
                  <w:b w:val="false"/>
                  <w:color w:val="0000FF"/>
                  <w:sz w:val="20"/>
                  <w:u w:val="single"/>
                </w:rPr>
                <w:t>62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145">
              <w:r>
                <w:rPr>
                  <w:rStyle w:val="InternetLink"/>
                  <w:rFonts w:ascii="Times New Roman;serif" w:hAnsi="Times New Roman;serif"/>
                  <w:b w:val="false"/>
                  <w:color w:val="0000FF"/>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145">
              <w:r>
                <w:rPr>
                  <w:rStyle w:val="InternetLink"/>
                  <w:rFonts w:ascii="Times New Roman;serif" w:hAnsi="Times New Roman;serif"/>
                  <w:b w:val="false"/>
                  <w:color w:val="0000FF"/>
                  <w:sz w:val="20"/>
                  <w:u w:val="single"/>
                </w:rPr>
                <w:t>63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148">
              <w:r>
                <w:rPr>
                  <w:rStyle w:val="InternetLink"/>
                  <w:rFonts w:ascii="Times New Roman;serif" w:hAnsi="Times New Roman;serif"/>
                  <w:b w:val="false"/>
                  <w:color w:val="0000FF"/>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148">
              <w:r>
                <w:rPr>
                  <w:rStyle w:val="InternetLink"/>
                  <w:rFonts w:ascii="Times New Roman;serif" w:hAnsi="Times New Roman;serif"/>
                  <w:b w:val="false"/>
                  <w:color w:val="0000FF"/>
                  <w:sz w:val="20"/>
                  <w:u w:val="single"/>
                </w:rPr>
                <w:t>63</w:t>
              </w:r>
            </w:hyperlink>
          </w:p>
        </w:tc>
      </w:tr>
      <w:tr>
        <w:trPr/>
        <w:tc>
          <w:tcPr>
            <w:tcW w:w="81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ab8011207f9495f8b49aa9e8b65f397_151">
              <w:r>
                <w:rPr>
                  <w:rStyle w:val="InternetLink"/>
                  <w:rFonts w:ascii="Times New Roman;serif" w:hAnsi="Times New Roman;serif"/>
                  <w:b w:val="false"/>
                  <w:color w:val="0000FF"/>
                  <w:sz w:val="20"/>
                  <w:u w:val="single"/>
                </w:rPr>
                <w:t>SIGNATURES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ab8011207f9495f8b49aa9e8b65f397_151">
              <w:r>
                <w:rPr>
                  <w:rStyle w:val="InternetLink"/>
                  <w:rFonts w:ascii="Times New Roman;serif" w:hAnsi="Times New Roman;serif"/>
                  <w:b w:val="false"/>
                  <w:color w:val="0000FF"/>
                  <w:sz w:val="20"/>
                  <w:u w:val="singl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 FINANCIAL INFORMATION</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 FINANCIAL STATEMENTS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Renasant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Consolidated Balance Sheets</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Data)</w:t>
      </w:r>
    </w:p>
    <w:tbl>
      <w:tblPr>
        <w:tblW w:w="10205" w:type="dxa"/>
        <w:jc w:val="center"/>
        <w:tblInd w:w="0" w:type="dxa"/>
        <w:tblLayout w:type="fixed"/>
        <w:tblCellMar>
          <w:top w:w="28" w:type="dxa"/>
          <w:left w:w="28" w:type="dxa"/>
          <w:bottom w:w="28" w:type="dxa"/>
          <w:right w:w="28" w:type="dxa"/>
        </w:tblCellMar>
      </w:tblPr>
      <w:tblGrid>
        <w:gridCol w:w="2754"/>
        <w:gridCol w:w="2230"/>
        <w:gridCol w:w="2173"/>
        <w:gridCol w:w="196"/>
        <w:gridCol w:w="961"/>
        <w:gridCol w:w="109"/>
        <w:gridCol w:w="109"/>
        <w:gridCol w:w="109"/>
        <w:gridCol w:w="109"/>
        <w:gridCol w:w="217"/>
        <w:gridCol w:w="1065"/>
        <w:gridCol w:w="173"/>
      </w:tblGrid>
      <w:tr>
        <w:trPr/>
        <w:tc>
          <w:tcPr>
            <w:tcW w:w="2754"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balances with banks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771,126 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1,070,718 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held to maturity (fair value of $928,696 and $961,870, respectively)</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1,030,073 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available for sale, at fair value (amortized cost of $2,900,216 and $2,635,495,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2,560,818 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sale, at fair value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265,959 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5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5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 for investment, net of unearned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19,047,039 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on loans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(293,955)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net</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18,679,386 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18,753,084 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465,141 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1,405,840 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intangible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146,612 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Bank-owned life insurance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492,541 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servicing rights,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480,178 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27,107,274 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26,751,426 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Noninterest-bearing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5,043,960 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16,916,058 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16,429,110 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deposits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22,099,484 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21,473,070 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555,774 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499,756 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337,921 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23,240,356 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22,866,521 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 5,000,000 shares authorized; no shares issued and outstanding</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$5.00 par value – 250,000,000 shares authorized; 97,722,397 shares issued; 92,881,329 and 94,636,207 shares outstanding,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488,612 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 4,841,068 and 3,086,190 shares, respectively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(103,494)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2,392,997 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1,196,522 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 net of taxes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(89,732)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3,866,918 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3,884,905 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27,107,274 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26,751,426 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Income (Unaudited)</w:t>
      </w:r>
    </w:p>
    <w:p>
      <w:pPr>
        <w:pStyle w:val="TextBody"/>
        <w:bidi w:val="0"/>
        <w:spacing w:lineRule="auto" w:line="288" w:before="180" w:after="12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bl>
      <w:tblPr>
        <w:tblW w:w="7060" w:type="dxa"/>
        <w:jc w:val="center"/>
        <w:tblInd w:w="0" w:type="dxa"/>
        <w:tblLayout w:type="fixed"/>
        <w:tblCellMar>
          <w:top w:w="28" w:type="dxa"/>
          <w:left w:w="28" w:type="dxa"/>
          <w:bottom w:w="28" w:type="dxa"/>
          <w:right w:w="28" w:type="dxa"/>
        </w:tblCellMar>
      </w:tblPr>
      <w:tblGrid>
        <w:gridCol w:w="1389"/>
        <w:gridCol w:w="1213"/>
        <w:gridCol w:w="1222"/>
        <w:gridCol w:w="109"/>
        <w:gridCol w:w="109"/>
        <w:gridCol w:w="139"/>
        <w:gridCol w:w="139"/>
        <w:gridCol w:w="250"/>
        <w:gridCol w:w="938"/>
        <w:gridCol w:w="139"/>
        <w:gridCol w:w="109"/>
        <w:gridCol w:w="109"/>
        <w:gridCol w:w="109"/>
        <w:gridCol w:w="196"/>
        <w:gridCol w:w="736"/>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13" w:type="dxa"/>
            <w:gridSpan w:val="6"/>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298,273 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Tax-exempt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338,120 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114,561 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223,559 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 on unfunded commitments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interest income after provision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215,479 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 charges on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and commissions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Wealth management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8,678 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Mortgage banking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BOLI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Data processing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occupancy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Advertising and public relations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Merger and conversion 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noninterest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155,328 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110,423 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88,228 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Basic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(Unaudited)</w:t>
      </w:r>
    </w:p>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46"/>
        <w:gridCol w:w="2229"/>
        <w:gridCol w:w="2248"/>
        <w:gridCol w:w="109"/>
        <w:gridCol w:w="109"/>
        <w:gridCol w:w="134"/>
        <w:gridCol w:w="134"/>
        <w:gridCol w:w="259"/>
        <w:gridCol w:w="887"/>
        <w:gridCol w:w="134"/>
        <w:gridCol w:w="109"/>
        <w:gridCol w:w="109"/>
        <w:gridCol w:w="109"/>
        <w:gridCol w:w="211"/>
        <w:gridCol w:w="721"/>
        <w:gridCol w:w="157"/>
      </w:tblGrid>
      <w:tr>
        <w:trPr/>
        <w:tc>
          <w:tcPr>
            <w:tcW w:w="2546"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16" w:type="dxa"/>
            <w:gridSpan w:val="6"/>
            <w:tcBorders/>
          </w:tcPr>
          <w:p>
            <w:pPr>
              <w:pStyle w:val="TableContents"/>
              <w:bidi w:val="0"/>
              <w:spacing w:before="0" w:after="283"/>
              <w:jc w:val="left"/>
              <w:rPr>
                <w:sz w:val="4"/>
                <w:szCs w:val="4"/>
              </w:rPr>
            </w:pPr>
            <w:r>
              <w:rPr>
                <w:sz w:val="4"/>
                <w:szCs w:val="4"/>
              </w:rPr>
            </w:r>
          </w:p>
        </w:tc>
      </w:tr>
      <w:tr>
        <w:trPr/>
        <w:tc>
          <w:tcPr>
            <w:tcW w:w="70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416" w:type="dxa"/>
            <w:gridSpan w:val="6"/>
            <w:tcBorders/>
          </w:tcPr>
          <w:p>
            <w:pPr>
              <w:pStyle w:val="TableContents"/>
              <w:bidi w:val="0"/>
              <w:spacing w:before="0" w:after="283"/>
              <w:jc w:val="left"/>
              <w:rPr>
                <w:sz w:val="4"/>
                <w:szCs w:val="4"/>
              </w:rPr>
            </w:pPr>
            <w:r>
              <w:rPr>
                <w:sz w:val="4"/>
                <w:szCs w:val="4"/>
              </w:rPr>
            </w:r>
          </w:p>
        </w:tc>
      </w:tr>
      <w:tr>
        <w:trPr/>
        <w:tc>
          <w:tcPr>
            <w:tcW w:w="70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88,228 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holding (losses) gains on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unrealized holding losses on securities transferred to the held to maturity category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securities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holding losses on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into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and 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0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 recognized in net periodic pension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defined benefit pension and 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Consolidated Statements of Changes in Shareholders’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p>
      <w:pPr>
        <w:pStyle w:val="TextBody"/>
        <w:bidi w:val="0"/>
        <w:spacing w:before="0" w:after="0"/>
        <w:jc w:val="center"/>
        <w:rPr/>
      </w:pPr>
      <w:r>
        <w:rPr/>
      </w:r>
    </w:p>
    <w:tbl>
      <w:tblPr>
        <w:tblW w:w="11236" w:type="dxa"/>
        <w:jc w:val="center"/>
        <w:tblInd w:w="0" w:type="dxa"/>
        <w:tblLayout w:type="fixed"/>
        <w:tblCellMar>
          <w:top w:w="28" w:type="dxa"/>
          <w:left w:w="28" w:type="dxa"/>
          <w:bottom w:w="28" w:type="dxa"/>
          <w:right w:w="28" w:type="dxa"/>
        </w:tblCellMar>
      </w:tblPr>
      <w:tblGrid>
        <w:gridCol w:w="771"/>
        <w:gridCol w:w="229"/>
        <w:gridCol w:w="231"/>
        <w:gridCol w:w="480"/>
        <w:gridCol w:w="481"/>
        <w:gridCol w:w="196"/>
        <w:gridCol w:w="109"/>
        <w:gridCol w:w="109"/>
        <w:gridCol w:w="109"/>
        <w:gridCol w:w="196"/>
        <w:gridCol w:w="736"/>
        <w:gridCol w:w="109"/>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46"/>
        <w:gridCol w:w="832"/>
        <w:gridCol w:w="138"/>
        <w:gridCol w:w="109"/>
        <w:gridCol w:w="109"/>
        <w:gridCol w:w="109"/>
        <w:gridCol w:w="196"/>
        <w:gridCol w:w="871"/>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2026</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94,636,207 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(89,732)</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3,884,905 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($0.23 per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shares in connection with stock repurchase program</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(1,917,611)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stock-based compensation awards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92,881,329 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2,388,649 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(99,624)</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3,866,918 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11146" w:type="dxa"/>
        <w:jc w:val="center"/>
        <w:tblInd w:w="0" w:type="dxa"/>
        <w:tblLayout w:type="fixed"/>
        <w:tblCellMar>
          <w:top w:w="28" w:type="dxa"/>
          <w:left w:w="28" w:type="dxa"/>
          <w:bottom w:w="28" w:type="dxa"/>
          <w:right w:w="28" w:type="dxa"/>
        </w:tblCellMar>
      </w:tblPr>
      <w:tblGrid>
        <w:gridCol w:w="771"/>
        <w:gridCol w:w="229"/>
        <w:gridCol w:w="231"/>
        <w:gridCol w:w="480"/>
        <w:gridCol w:w="481"/>
        <w:gridCol w:w="196"/>
        <w:gridCol w:w="109"/>
        <w:gridCol w:w="109"/>
        <w:gridCol w:w="109"/>
        <w:gridCol w:w="196"/>
        <w:gridCol w:w="736"/>
        <w:gridCol w:w="109"/>
        <w:gridCol w:w="109"/>
        <w:gridCol w:w="109"/>
        <w:gridCol w:w="109"/>
        <w:gridCol w:w="196"/>
        <w:gridCol w:w="661"/>
        <w:gridCol w:w="109"/>
        <w:gridCol w:w="109"/>
        <w:gridCol w:w="109"/>
        <w:gridCol w:w="109"/>
        <w:gridCol w:w="196"/>
        <w:gridCol w:w="871"/>
        <w:gridCol w:w="109"/>
        <w:gridCol w:w="109"/>
        <w:gridCol w:w="109"/>
        <w:gridCol w:w="109"/>
        <w:gridCol w:w="196"/>
        <w:gridCol w:w="871"/>
        <w:gridCol w:w="109"/>
        <w:gridCol w:w="109"/>
        <w:gridCol w:w="109"/>
        <w:gridCol w:w="109"/>
        <w:gridCol w:w="225"/>
        <w:gridCol w:w="864"/>
        <w:gridCol w:w="127"/>
        <w:gridCol w:w="109"/>
        <w:gridCol w:w="109"/>
        <w:gridCol w:w="109"/>
        <w:gridCol w:w="196"/>
        <w:gridCol w:w="871"/>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63,565,690 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(142,608)</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($0.22 per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stock-based compensation awards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63,739,467 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(121,621)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2,727,105 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Renasant Corporation</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Consolidated Statements of Cash Flows (Unaudited)</w:t>
      </w:r>
    </w:p>
    <w:p>
      <w:pPr>
        <w:pStyle w:val="TextBody"/>
        <w:bidi w:val="0"/>
        <w:spacing w:lineRule="auto" w:line="288" w:before="0" w:after="120"/>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bl>
      <w:tblPr>
        <w:tblW w:w="8483" w:type="dxa"/>
        <w:jc w:val="center"/>
        <w:tblInd w:w="0" w:type="dxa"/>
        <w:tblLayout w:type="fixed"/>
        <w:tblCellMar>
          <w:top w:w="28" w:type="dxa"/>
          <w:left w:w="28" w:type="dxa"/>
          <w:bottom w:w="28" w:type="dxa"/>
          <w:right w:w="28" w:type="dxa"/>
        </w:tblCellMar>
      </w:tblPr>
      <w:tblGrid>
        <w:gridCol w:w="2082"/>
        <w:gridCol w:w="1831"/>
        <w:gridCol w:w="1846"/>
        <w:gridCol w:w="196"/>
        <w:gridCol w:w="871"/>
        <w:gridCol w:w="109"/>
        <w:gridCol w:w="109"/>
        <w:gridCol w:w="109"/>
        <w:gridCol w:w="109"/>
        <w:gridCol w:w="196"/>
        <w:gridCol w:w="871"/>
        <w:gridCol w:w="154"/>
      </w:tblGrid>
      <w:tr>
        <w:trPr/>
        <w:tc>
          <w:tcPr>
            <w:tcW w:w="208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Adjustments to reconcile net income to net cash provided by operating activities: </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Funding of mortgage loans held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mortgage loans held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on sales of mortgage loans held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(gains) on sales of premises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bank-owned life 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operating leases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securities available for sale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call/maturities of securities available for sale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call/maturities of securities held to maturity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premises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premises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surrender of bank-owned life 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FHLB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redemption of FHLB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FRB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(236,001)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in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short-term borrowings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dividends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shares in connection with stock repurchase program</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185,210 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increase (decrease) in cash and cash equivalents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1,091,339 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transactions: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Transfers of loans to other real estate owned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Recognition of operating right-of-use assets and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Summary of Significant Accounting Policies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100" w:after="283"/>
        <w:jc w:val="both"/>
        <w:rPr/>
      </w:pPr>
      <w:r>
        <w:rPr>
          <w:rFonts w:ascii="Times New Roman;serif" w:hAnsi="Times New Roman;serif"/>
          <w:b w:val="false"/>
          <w:color w:val="000000"/>
          <w:sz w:val="20"/>
          <w:u w:val="single"/>
        </w:rPr>
        <w:t>Nature of Operations</w:t>
      </w:r>
      <w:r>
        <w:rPr>
          <w:rFonts w:ascii="Times New Roman;serif" w:hAnsi="Times New Roman;serif"/>
          <w:b w:val="false"/>
          <w:color w:val="000000"/>
          <w:sz w:val="20"/>
        </w:rPr>
        <w:t>: Renasant Corporation (referred to herein as the “Company”) owns and operates Renasant Bank (“Renasant Bank” or the “Bank”), Park Place Capital Corporation and Continental Republic Capital, LLC (doing business as “Republic Business Credit”). Through its subsidiaries, the Company offers a diversified range of financial, wealth management and fiduciary services to its retail and commercial customers from offices located throughout the Southeast and offers factoring and asset-based lending on a nationwide basis.</w:t>
      </w:r>
    </w:p>
    <w:p>
      <w:pPr>
        <w:pStyle w:val="TextBody"/>
        <w:bidi w:val="0"/>
        <w:spacing w:lineRule="auto" w:line="288" w:before="180" w:after="283"/>
        <w:jc w:val="both"/>
        <w:rPr/>
      </w:pPr>
      <w:r>
        <w:rPr>
          <w:rFonts w:ascii="Times New Roman;serif" w:hAnsi="Times New Roman;serif"/>
          <w:b w:val="false"/>
          <w:color w:val="000000"/>
          <w:sz w:val="20"/>
          <w:u w:val="single"/>
        </w:rPr>
        <w:t>Basis of Presentation</w:t>
      </w:r>
      <w:r>
        <w:rPr>
          <w:rFonts w:ascii="Times New Roman;serif" w:hAnsi="Times New Roman;serif"/>
          <w:b w:val="false"/>
          <w:color w:val="000000"/>
          <w:sz w:val="20"/>
        </w:rPr>
        <w:t>: The accompanying unaudited consolidated financial statements of the Company and its subsidiaries have been prepared in accordance with accounting principles generally accepted in the United States of America (“GAAP”) for interim financial information and in accordance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statement of the results for the interim periods presented have been included. For further information regarding the Company’s significant accounting policies, refer to the audited consolidated financial statements and notes thereto included in the Company’s Annual Report on Form 10-K for the year ended December 31, 2025 filed with the Securities and Exchange Commission (the “SEC”).</w:t>
      </w:r>
    </w:p>
    <w:p>
      <w:pPr>
        <w:pStyle w:val="TextBody"/>
        <w:bidi w:val="0"/>
        <w:spacing w:lineRule="auto" w:line="288" w:before="180" w:after="283"/>
        <w:jc w:val="both"/>
        <w:rPr/>
      </w:pPr>
      <w:r>
        <w:rPr>
          <w:rFonts w:ascii="Times New Roman;serif" w:hAnsi="Times New Roman;serif"/>
          <w:b w:val="false"/>
          <w:color w:val="000000"/>
          <w:sz w:val="20"/>
          <w:u w:val="single"/>
        </w:rPr>
        <w:t>Use of Estimates</w:t>
      </w:r>
      <w:r>
        <w:rPr>
          <w:rFonts w:ascii="Times New Roman;serif" w:hAnsi="Times New Roman;serif"/>
          <w:b w:val="false"/>
          <w:color w:val="000000"/>
          <w:sz w:val="20"/>
        </w:rPr>
        <w:t>: The preparation of consolidated financial statements in conformity with GAAP requires management to make estimates and assumptions that affect the amounts reported in the consolidated financial statements and accompanying notes. Actual results could differ from those estimates, and such differences may be material. Material estimates that are particularly susceptible to change include the allowance for credit losses and the fair value of assets acquired and liabilities assumed as part of a business acquisition.</w:t>
      </w:r>
    </w:p>
    <w:p>
      <w:pPr>
        <w:pStyle w:val="TextBody"/>
        <w:bidi w:val="0"/>
        <w:spacing w:before="0" w:after="0"/>
        <w:jc w:val="left"/>
        <w:rPr/>
      </w:pPr>
      <w:r>
        <w:rPr/>
      </w:r>
    </w:p>
    <w:p>
      <w:pPr>
        <w:pStyle w:val="TextBody"/>
        <w:bidi w:val="0"/>
        <w:spacing w:lineRule="auto" w:line="288" w:before="0" w:after="180"/>
        <w:jc w:val="both"/>
        <w:rPr/>
      </w:pPr>
      <w:r>
        <w:rPr>
          <w:rFonts w:ascii="Times New Roman;serif" w:hAnsi="Times New Roman;serif"/>
          <w:b w:val="false"/>
          <w:color w:val="000000"/>
          <w:sz w:val="20"/>
          <w:u w:val="single"/>
        </w:rPr>
        <w:t>Impact of Recently-Issued Accounting Standards and Pronouncements</w:t>
      </w:r>
      <w:r>
        <w:rPr>
          <w:rFonts w:ascii="Times New Roman;serif" w:hAnsi="Times New Roman;serif"/>
          <w:b w:val="false"/>
          <w:color w:val="000000"/>
          <w:sz w:val="20"/>
        </w:rPr>
        <w:t>:</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Financial Accounting Standards Board (“FASB”) issued Accounting Standards Update (“ASU”) 2024-03, </w:t>
      </w:r>
      <w:r>
        <w:rPr>
          <w:color w:val="000000"/>
        </w:rPr>
        <w:t>“</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(“ASU 2024-03”), which amends the disclosure requirements in the notes to financial statements of specified information about certain costs and expenses. ASU 2024-03 will be effective January 1, 2027 and is not expected to have a significant impact on the Company’s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2025, FASB issued ASU 2025-08, </w:t>
      </w:r>
      <w:r>
        <w:rPr>
          <w:color w:val="000000"/>
        </w:rPr>
        <w:t>“</w:t>
      </w:r>
      <w:r>
        <w:rPr>
          <w:rFonts w:ascii="Times New Roman;serif" w:hAnsi="Times New Roman;serif"/>
          <w:b w:val="false"/>
          <w:i/>
          <w:color w:val="000000"/>
          <w:sz w:val="20"/>
        </w:rPr>
        <w:t>Financial Instruments - Credit Losses (Topic 326): Purchased Loans”</w:t>
      </w:r>
      <w:r>
        <w:rPr>
          <w:color w:val="000000"/>
        </w:rPr>
        <w:t xml:space="preserve"> </w:t>
      </w:r>
      <w:r>
        <w:rPr>
          <w:rFonts w:ascii="Times New Roman;serif" w:hAnsi="Times New Roman;serif"/>
          <w:b w:val="false"/>
          <w:color w:val="000000"/>
          <w:sz w:val="20"/>
        </w:rPr>
        <w:t>(“ASU 2025-08”), which amends the guidance on accounting for purchased loans under the current expected credit losses model. The amendments clarify and refine the measurement and recognition requirements for purchased financial assets with credit deterioration and other purchased loans, including guidance on determining the initial allowance for credit losses, the treatment of noncredit discounts and premiums, and subsequent measurement considerations. The standard is intended to improve consistency in practice and reduce complexity in applying the CECL model to purchased loan portfolios. ASU 2025-08 will be effective January 1, 2027, and shall be applied prospectively. The Company is currently evaluating the impact of this guidance on its consolidated financial statements and related disclosures, including the potential effects on the allowance for credit losses and net interest income. The actual impact will depend on the volume and characteristics of loan portfolios purchased after the effective date.</w:t>
      </w:r>
    </w:p>
    <w:p>
      <w:pPr>
        <w:pStyle w:val="TextBody"/>
        <w:bidi w:val="0"/>
        <w:spacing w:lineRule="auto" w:line="288" w:before="0" w:after="180"/>
        <w:jc w:val="both"/>
        <w:rPr/>
      </w:pPr>
      <w:r>
        <w:rPr>
          <w:rFonts w:ascii="Times New Roman;serif" w:hAnsi="Times New Roman;serif"/>
          <w:b w:val="false"/>
          <w:color w:val="000000"/>
          <w:sz w:val="20"/>
        </w:rPr>
        <w:t xml:space="preserve">In November 2025, FASB issued ASU 2025-09, </w:t>
      </w:r>
      <w:r>
        <w:rPr>
          <w:color w:val="000000"/>
        </w:rPr>
        <w:t>“</w:t>
      </w:r>
      <w:r>
        <w:rPr>
          <w:rFonts w:ascii="Times New Roman;serif" w:hAnsi="Times New Roman;serif"/>
          <w:b w:val="false"/>
          <w:i/>
          <w:color w:val="000000"/>
          <w:sz w:val="20"/>
        </w:rPr>
        <w:t>Derivatives and Hedging (Topic 815): Hedge Accounting Improvements”</w:t>
      </w:r>
      <w:r>
        <w:rPr>
          <w:color w:val="000000"/>
        </w:rPr>
        <w:t xml:space="preserve"> </w:t>
      </w:r>
      <w:r>
        <w:rPr>
          <w:rFonts w:ascii="Times New Roman;serif" w:hAnsi="Times New Roman;serif"/>
          <w:b w:val="false"/>
          <w:color w:val="000000"/>
          <w:sz w:val="20"/>
        </w:rPr>
        <w:t>(“ASU 2025-09”), which enables entities to apply hedge accounting to a greater number of highly effective economic hedges in the following areas: (1) similar risk assessment for cash flow hedges, (2) hedging forecasted interest payments on choose-your-rate debt instruments, (3) cash flow hedges of nonfinancial forecasted transactions, (4) net written options as hedging instruments, and (5) foreign-currency-denominated debt instrument as hedging instrument and hedged item (dual hedge). ASU 2025-09 will be effective January 1, 2028, and is not expected to have a material impact on the Company's consolidated financial position or results of operations, but it may affect the timing and presentation of gains and losses related to hedging activities and result in expanded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Mergers and Acquisitions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Data)</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The First Bancshares, Inc. (“The First”)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April 1, 2025, the Company completed its acquisition by merger of The First, the parent company of The First Bank, in a transaction valued at approximately $1,052,690. The Company issued 30,811,851 shares of common stock and paid approximately $1,869, net of tax benefit, to The First stock option holders for 100% of the voting equity interest in The First. At closing, The First merged with and into the Company, with the Company the surviving corporation in the merger; immediately thereafter, The First Bank merged with and into Renasant Bank, with Renasant Bank the surviving banking corporation in the merger. Before the merger, The First operated 116 banking locations throughout Louisiana, Mississippi, Alabama, Georgia and Florida. No transaction costs were incurred during the three months ended March 31, 2026. The Company incurred transaction costs of $791 during the three months ended March 31, 2025. These transaction costs are reported in the line item “Merger and conversion related expenses” in the Consolidated Statements of Income.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transaction was accounted for using the acquisition method of accounting and, accordingly, assets acquired and liabilities assumed were recorded at estimated fair values as of the acquisition date. The Company recorded approximately $584,499 in intangible assets, which consisted of goodwill of $419,023, a core deposit intangible of $165,476 and a customer relationship intangible of $5,866 associated with Southwest Georgia Insurance Services, Inc. (“SGIS”), The First’s wholly-owned insurance subsidiary. Goodwill resulted from a combination of revenue enhancements from expansion in existing markets and efficiencies resulting from operational synergies. As a result of the various measurement period adjustments identified during the first quarter of 2026, the estimated fair value of goodwill as of the acquisition date increased by $827, from $418,196 to $419,023. The fair value of the core deposit intangible is being amortized over its estimated useful life, currently expected to be approximately 10 years. The goodwill is not deductible for income tax purposes. On December 31, 2025, substantially all of the assets and certain liabilities of SGIS, including the customer relationship intangible, were sold, with no gain or loss recognized on the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assumed the outstanding short-term borrowings and long-term debt of The First. Short-term borrowings consisted of $298,250 in short-term advances from the Federal Home Loan Bank. Long-term debt consisted of $95,262 and $25,653 in subordinated notes and junior subordinated debentures, respectively.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calculation of the purchase price in connection with the Company’s merger with The First. </w:t>
      </w:r>
    </w:p>
    <w:tbl>
      <w:tblPr>
        <w:tblW w:w="8598" w:type="dxa"/>
        <w:jc w:val="center"/>
        <w:tblInd w:w="0" w:type="dxa"/>
        <w:tblLayout w:type="fixed"/>
        <w:tblCellMar>
          <w:top w:w="28" w:type="dxa"/>
          <w:left w:w="28" w:type="dxa"/>
          <w:bottom w:w="28" w:type="dxa"/>
          <w:right w:w="28" w:type="dxa"/>
        </w:tblCellMar>
      </w:tblPr>
      <w:tblGrid>
        <w:gridCol w:w="2507"/>
        <w:gridCol w:w="2207"/>
        <w:gridCol w:w="2216"/>
        <w:gridCol w:w="109"/>
        <w:gridCol w:w="109"/>
        <w:gridCol w:w="109"/>
        <w:gridCol w:w="211"/>
        <w:gridCol w:w="976"/>
        <w:gridCol w:w="154"/>
      </w:tblGrid>
      <w:tr>
        <w:trPr/>
        <w:tc>
          <w:tcPr>
            <w:tcW w:w="2507"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common shareholders, excluding unvested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30,811,851 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of stock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1,045,446 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converted unvested restricted stock awards for pre-combination 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settlement for stock options, net of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Total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on April 1, 2025 of assets acquired and liabilities assumed on that date in connection with the merger with The First.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02"/>
        <w:gridCol w:w="741"/>
        <w:gridCol w:w="745"/>
        <w:gridCol w:w="109"/>
        <w:gridCol w:w="109"/>
        <w:gridCol w:w="109"/>
        <w:gridCol w:w="109"/>
        <w:gridCol w:w="477"/>
        <w:gridCol w:w="2210"/>
        <w:gridCol w:w="246"/>
        <w:gridCol w:w="109"/>
        <w:gridCol w:w="109"/>
        <w:gridCol w:w="109"/>
        <w:gridCol w:w="490"/>
        <w:gridCol w:w="1119"/>
        <w:gridCol w:w="254"/>
        <w:gridCol w:w="109"/>
        <w:gridCol w:w="109"/>
        <w:gridCol w:w="109"/>
        <w:gridCol w:w="302"/>
        <w:gridCol w:w="1402"/>
        <w:gridCol w:w="227"/>
      </w:tblGrid>
      <w:tr>
        <w:trPr/>
        <w:tc>
          <w:tcPr>
            <w:tcW w:w="90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Preliminary Fair Value of Net Assets Acquired at Date of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Measurement Period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of Net Assets Acquired</w:t>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263,352 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263,352 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1,457,377 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1,457,377 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including loans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5,173,334 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5,173,334 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181,754 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179,629 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Bank-owned life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146,601 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deposit intangible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165,476 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173,885 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175,627 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7,572,811 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7,572,428 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6,449,393 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6,449,393 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419,165 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419,165 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69,759 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6,938,317 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6,938,761 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identifiable assets acquired over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634,494 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633,667 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418,196 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419,023 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 over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1,052,690 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1,052,690 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80"/>
        <w:jc w:val="both"/>
        <w:rPr>
          <w:rFonts w:ascii="Times New Roman;serif" w:hAnsi="Times New Roman;serif"/>
          <w:b w:val="false"/>
          <w:color w:val="000000"/>
          <w:sz w:val="20"/>
        </w:rPr>
      </w:pPr>
      <w:r>
        <w:rPr>
          <w:rFonts w:ascii="Times New Roman;serif" w:hAnsi="Times New Roman;serif"/>
          <w:b w:val="false"/>
          <w:color w:val="000000"/>
          <w:sz w:val="20"/>
        </w:rPr>
        <w:t>(1) The goodwill resulting from the merger has been assigned to the Community Banks operating segment.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related to the acquired loan portfolio at the acquisition date on April 1, 2025:</w:t>
      </w:r>
    </w:p>
    <w:tbl>
      <w:tblPr>
        <w:tblW w:w="6560" w:type="dxa"/>
        <w:jc w:val="left"/>
        <w:tblInd w:w="0" w:type="dxa"/>
        <w:tblLayout w:type="fixed"/>
        <w:tblCellMar>
          <w:top w:w="28" w:type="dxa"/>
          <w:left w:w="28" w:type="dxa"/>
          <w:bottom w:w="28" w:type="dxa"/>
          <w:right w:w="28" w:type="dxa"/>
        </w:tblCellMar>
      </w:tblPr>
      <w:tblGrid>
        <w:gridCol w:w="1889"/>
        <w:gridCol w:w="1664"/>
        <w:gridCol w:w="1666"/>
        <w:gridCol w:w="211"/>
        <w:gridCol w:w="976"/>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1, 2025</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Purchased Credit-Deteriorated (“PCD”) loans: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acquisition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Non-credit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Non-PCD loans: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contractual amounts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 of contractual cash flows not expected to be collected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has determined it is impracticable to disclose stand-alone revenues and earnings for legacy The First since April 1, 2025 due to the merging of certain processes during the second quarter of 2025.</w:t>
      </w:r>
    </w:p>
    <w:tbl>
      <w:tblPr>
        <w:tblW w:w="180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Securities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Number of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amortized cost and fair value of securities available for sale were as follows as of the dates presented in the tables below.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was no allowance for credit losses allocated to any of the Company’s available for sale securities as of March 31, 2026 or December 31, 2025.</w:t>
      </w:r>
    </w:p>
    <w:p>
      <w:pPr>
        <w:pStyle w:val="TextBody"/>
        <w:bidi w:val="0"/>
        <w:spacing w:lineRule="auto" w:line="288" w:before="0" w:after="0"/>
        <w:jc w:val="left"/>
        <w:rPr>
          <w:color w:val="000000"/>
        </w:rPr>
      </w:pPr>
      <w:r>
        <w:rPr>
          <w:color w:val="000000"/>
        </w:rPr>
        <w:t> </w:t>
      </w:r>
    </w:p>
    <w:tbl>
      <w:tblPr>
        <w:tblW w:w="10042" w:type="dxa"/>
        <w:jc w:val="left"/>
        <w:tblInd w:w="0" w:type="dxa"/>
        <w:tblLayout w:type="fixed"/>
        <w:tblCellMar>
          <w:top w:w="28" w:type="dxa"/>
          <w:left w:w="28" w:type="dxa"/>
          <w:bottom w:w="28" w:type="dxa"/>
          <w:right w:w="28" w:type="dxa"/>
        </w:tblCellMar>
      </w:tblPr>
      <w:tblGrid>
        <w:gridCol w:w="1427"/>
        <w:gridCol w:w="1256"/>
        <w:gridCol w:w="1261"/>
        <w:gridCol w:w="211"/>
        <w:gridCol w:w="976"/>
        <w:gridCol w:w="109"/>
        <w:gridCol w:w="109"/>
        <w:gridCol w:w="109"/>
        <w:gridCol w:w="109"/>
        <w:gridCol w:w="211"/>
        <w:gridCol w:w="721"/>
        <w:gridCol w:w="109"/>
        <w:gridCol w:w="109"/>
        <w:gridCol w:w="109"/>
        <w:gridCol w:w="109"/>
        <w:gridCol w:w="211"/>
        <w:gridCol w:w="901"/>
        <w:gridCol w:w="109"/>
        <w:gridCol w:w="109"/>
        <w:gridCol w:w="109"/>
        <w:gridCol w:w="109"/>
        <w:gridCol w:w="109"/>
        <w:gridCol w:w="109"/>
        <w:gridCol w:w="211"/>
        <w:gridCol w:w="976"/>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2,809,647 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155" w:type="dxa"/>
        <w:jc w:val="left"/>
        <w:tblInd w:w="0" w:type="dxa"/>
        <w:tblLayout w:type="fixed"/>
        <w:tblCellMar>
          <w:top w:w="28" w:type="dxa"/>
          <w:left w:w="28" w:type="dxa"/>
          <w:bottom w:w="28" w:type="dxa"/>
          <w:right w:w="28" w:type="dxa"/>
        </w:tblCellMar>
      </w:tblPr>
      <w:tblGrid>
        <w:gridCol w:w="1429"/>
        <w:gridCol w:w="1254"/>
        <w:gridCol w:w="1261"/>
        <w:gridCol w:w="211"/>
        <w:gridCol w:w="976"/>
        <w:gridCol w:w="109"/>
        <w:gridCol w:w="109"/>
        <w:gridCol w:w="109"/>
        <w:gridCol w:w="109"/>
        <w:gridCol w:w="211"/>
        <w:gridCol w:w="721"/>
        <w:gridCol w:w="109"/>
        <w:gridCol w:w="109"/>
        <w:gridCol w:w="109"/>
        <w:gridCol w:w="109"/>
        <w:gridCol w:w="211"/>
        <w:gridCol w:w="796"/>
        <w:gridCol w:w="109"/>
        <w:gridCol w:w="109"/>
        <w:gridCol w:w="109"/>
        <w:gridCol w:w="109"/>
        <w:gridCol w:w="109"/>
        <w:gridCol w:w="109"/>
        <w:gridCol w:w="109"/>
        <w:gridCol w:w="109"/>
        <w:gridCol w:w="211"/>
        <w:gridCol w:w="97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securities held to maturity were as follows as of the dates presented:</w:t>
      </w:r>
    </w:p>
    <w:tbl>
      <w:tblPr>
        <w:tblW w:w="10205" w:type="dxa"/>
        <w:jc w:val="left"/>
        <w:tblInd w:w="0" w:type="dxa"/>
        <w:tblLayout w:type="fixed"/>
        <w:tblCellMar>
          <w:top w:w="28" w:type="dxa"/>
          <w:left w:w="28" w:type="dxa"/>
          <w:bottom w:w="28" w:type="dxa"/>
          <w:right w:w="28" w:type="dxa"/>
        </w:tblCellMar>
      </w:tblPr>
      <w:tblGrid>
        <w:gridCol w:w="1630"/>
        <w:gridCol w:w="1356"/>
        <w:gridCol w:w="1323"/>
        <w:gridCol w:w="211"/>
        <w:gridCol w:w="976"/>
        <w:gridCol w:w="109"/>
        <w:gridCol w:w="109"/>
        <w:gridCol w:w="109"/>
        <w:gridCol w:w="109"/>
        <w:gridCol w:w="324"/>
        <w:gridCol w:w="393"/>
        <w:gridCol w:w="169"/>
        <w:gridCol w:w="109"/>
        <w:gridCol w:w="109"/>
        <w:gridCol w:w="109"/>
        <w:gridCol w:w="211"/>
        <w:gridCol w:w="783"/>
        <w:gridCol w:w="109"/>
        <w:gridCol w:w="109"/>
        <w:gridCol w:w="109"/>
        <w:gridCol w:w="109"/>
        <w:gridCol w:w="109"/>
        <w:gridCol w:w="109"/>
        <w:gridCol w:w="109"/>
        <w:gridCol w:w="109"/>
        <w:gridCol w:w="211"/>
        <w:gridCol w:w="826"/>
        <w:gridCol w:w="157"/>
      </w:tblGrid>
      <w:tr>
        <w:trPr/>
        <w:tc>
          <w:tcPr>
            <w:tcW w:w="1630"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246,935 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928,696 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 held to maturity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securities, net of allowance for credit losses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94"/>
        <w:gridCol w:w="1354"/>
        <w:gridCol w:w="1361"/>
        <w:gridCol w:w="211"/>
        <w:gridCol w:w="976"/>
        <w:gridCol w:w="109"/>
        <w:gridCol w:w="109"/>
        <w:gridCol w:w="109"/>
        <w:gridCol w:w="109"/>
        <w:gridCol w:w="274"/>
        <w:gridCol w:w="469"/>
        <w:gridCol w:w="143"/>
        <w:gridCol w:w="109"/>
        <w:gridCol w:w="109"/>
        <w:gridCol w:w="109"/>
        <w:gridCol w:w="211"/>
        <w:gridCol w:w="783"/>
        <w:gridCol w:w="109"/>
        <w:gridCol w:w="109"/>
        <w:gridCol w:w="109"/>
        <w:gridCol w:w="109"/>
        <w:gridCol w:w="109"/>
        <w:gridCol w:w="109"/>
        <w:gridCol w:w="109"/>
        <w:gridCol w:w="109"/>
        <w:gridCol w:w="211"/>
        <w:gridCol w:w="826"/>
        <w:gridCol w:w="157"/>
      </w:tblGrid>
      <w:tr>
        <w:trPr/>
        <w:tc>
          <w:tcPr>
            <w:tcW w:w="159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political subdivisions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 held to maturity securities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securities, net of allowance for credit losses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securities were sold during the first quarter of 2026 or 2025.</w:t>
      </w:r>
    </w:p>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securities with a carrying value of $1,716,468 and $1,732,787, respectively, were pledged to secure government, public and trust deposits. Securities with a carrying value of $8,896 and $21,377 were pledged as collateral for short-term borrowings and derivative instruments, respectively, at March 31, 2026. Securities with a carrying value of $9,023 and $18,732 were pledged as collateral for short-term borrowings and derivative instruments, respectively, at December 31,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securities at March 31, 2026 by contractual maturity are shown below. Expected maturities will differ from contractual maturities because issuers may call or prepay obligations with or without call or prepayment penalties.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9495" w:type="dxa"/>
        <w:jc w:val="center"/>
        <w:tblInd w:w="0" w:type="dxa"/>
        <w:tblLayout w:type="fixed"/>
        <w:tblCellMar>
          <w:top w:w="28" w:type="dxa"/>
          <w:left w:w="28" w:type="dxa"/>
          <w:bottom w:w="28" w:type="dxa"/>
          <w:right w:w="28" w:type="dxa"/>
        </w:tblCellMar>
      </w:tblPr>
      <w:tblGrid>
        <w:gridCol w:w="1245"/>
        <w:gridCol w:w="1090"/>
        <w:gridCol w:w="1100"/>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Held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Available for Sale</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 securities: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mortgage-backed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mortgage-backed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mortgage obligations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2,809,647 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age of gross unrealized losses and fair value by investment category for which an allowance for credit losses has not been recorded as of the dates presented:</w:t>
      </w:r>
    </w:p>
    <w:p>
      <w:pPr>
        <w:pStyle w:val="TextBody"/>
        <w:bidi w:val="0"/>
        <w:spacing w:lineRule="auto" w:line="288" w:before="0" w:after="0"/>
        <w:jc w:val="left"/>
        <w:rPr>
          <w:color w:val="000000"/>
        </w:rPr>
      </w:pPr>
      <w:r>
        <w:rPr>
          <w:color w:val="000000"/>
        </w:rPr>
        <w:t> </w:t>
      </w:r>
    </w:p>
    <w:tbl>
      <w:tblPr>
        <w:tblW w:w="11445" w:type="dxa"/>
        <w:jc w:val="left"/>
        <w:tblInd w:w="0" w:type="dxa"/>
        <w:tblLayout w:type="fixed"/>
        <w:tblCellMar>
          <w:top w:w="28" w:type="dxa"/>
          <w:left w:w="28" w:type="dxa"/>
          <w:bottom w:w="28" w:type="dxa"/>
          <w:right w:w="28" w:type="dxa"/>
        </w:tblCellMar>
      </w:tblPr>
      <w:tblGrid>
        <w:gridCol w:w="819"/>
        <w:gridCol w:w="258"/>
        <w:gridCol w:w="259"/>
        <w:gridCol w:w="165"/>
        <w:gridCol w:w="166"/>
        <w:gridCol w:w="109"/>
        <w:gridCol w:w="109"/>
        <w:gridCol w:w="109"/>
        <w:gridCol w:w="109"/>
        <w:gridCol w:w="196"/>
        <w:gridCol w:w="736"/>
        <w:gridCol w:w="109"/>
        <w:gridCol w:w="109"/>
        <w:gridCol w:w="109"/>
        <w:gridCol w:w="109"/>
        <w:gridCol w:w="196"/>
        <w:gridCol w:w="581"/>
        <w:gridCol w:w="109"/>
        <w:gridCol w:w="109"/>
        <w:gridCol w:w="109"/>
        <w:gridCol w:w="109"/>
        <w:gridCol w:w="125"/>
        <w:gridCol w:w="125"/>
        <w:gridCol w:w="126"/>
        <w:gridCol w:w="109"/>
        <w:gridCol w:w="109"/>
        <w:gridCol w:w="109"/>
        <w:gridCol w:w="196"/>
        <w:gridCol w:w="736"/>
        <w:gridCol w:w="109"/>
        <w:gridCol w:w="109"/>
        <w:gridCol w:w="109"/>
        <w:gridCol w:w="109"/>
        <w:gridCol w:w="196"/>
        <w:gridCol w:w="751"/>
        <w:gridCol w:w="109"/>
        <w:gridCol w:w="109"/>
        <w:gridCol w:w="109"/>
        <w:gridCol w:w="109"/>
        <w:gridCol w:w="125"/>
        <w:gridCol w:w="125"/>
        <w:gridCol w:w="126"/>
        <w:gridCol w:w="109"/>
        <w:gridCol w:w="109"/>
        <w:gridCol w:w="109"/>
        <w:gridCol w:w="196"/>
        <w:gridCol w:w="871"/>
        <w:gridCol w:w="109"/>
        <w:gridCol w:w="109"/>
        <w:gridCol w:w="109"/>
        <w:gridCol w:w="109"/>
        <w:gridCol w:w="196"/>
        <w:gridCol w:w="751"/>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Available for Sale:</w:t>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Obligations of states and political subdivisions</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securities</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mortgage obligations</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mortgage-backed securities:</w:t>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securities</w:t>
            </w:r>
          </w:p>
        </w:tc>
        <w:tc>
          <w:tcPr>
            <w:tcW w:w="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mortgage obligations</w:t>
            </w:r>
          </w:p>
        </w:tc>
        <w:tc>
          <w:tcPr>
            <w:tcW w:w="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 securities</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Obligations of states and political subdivisions</w:t>
            </w:r>
          </w:p>
        </w:tc>
        <w:tc>
          <w:tcPr>
            <w:tcW w:w="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securities</w:t>
            </w:r>
          </w:p>
        </w:tc>
        <w:tc>
          <w:tcPr>
            <w:tcW w:w="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mortgage obligations</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mortgage-backed securities:</w:t>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securities</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mortgage obligations</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 securities</w:t>
            </w:r>
          </w:p>
        </w:tc>
        <w:tc>
          <w:tcPr>
            <w:tcW w:w="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44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1,051,213 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(96,559)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0946" w:type="dxa"/>
        <w:jc w:val="left"/>
        <w:tblInd w:w="0" w:type="dxa"/>
        <w:tblLayout w:type="fixed"/>
        <w:tblCellMar>
          <w:top w:w="28" w:type="dxa"/>
          <w:left w:w="28" w:type="dxa"/>
          <w:bottom w:w="28" w:type="dxa"/>
          <w:right w:w="28" w:type="dxa"/>
        </w:tblCellMar>
      </w:tblPr>
      <w:tblGrid>
        <w:gridCol w:w="838"/>
        <w:gridCol w:w="248"/>
        <w:gridCol w:w="250"/>
        <w:gridCol w:w="115"/>
        <w:gridCol w:w="115"/>
        <w:gridCol w:w="116"/>
        <w:gridCol w:w="109"/>
        <w:gridCol w:w="109"/>
        <w:gridCol w:w="109"/>
        <w:gridCol w:w="196"/>
        <w:gridCol w:w="646"/>
        <w:gridCol w:w="109"/>
        <w:gridCol w:w="109"/>
        <w:gridCol w:w="109"/>
        <w:gridCol w:w="109"/>
        <w:gridCol w:w="196"/>
        <w:gridCol w:w="581"/>
        <w:gridCol w:w="109"/>
        <w:gridCol w:w="109"/>
        <w:gridCol w:w="109"/>
        <w:gridCol w:w="109"/>
        <w:gridCol w:w="125"/>
        <w:gridCol w:w="125"/>
        <w:gridCol w:w="126"/>
        <w:gridCol w:w="109"/>
        <w:gridCol w:w="109"/>
        <w:gridCol w:w="109"/>
        <w:gridCol w:w="196"/>
        <w:gridCol w:w="736"/>
        <w:gridCol w:w="109"/>
        <w:gridCol w:w="109"/>
        <w:gridCol w:w="109"/>
        <w:gridCol w:w="109"/>
        <w:gridCol w:w="196"/>
        <w:gridCol w:w="661"/>
        <w:gridCol w:w="109"/>
        <w:gridCol w:w="109"/>
        <w:gridCol w:w="109"/>
        <w:gridCol w:w="109"/>
        <w:gridCol w:w="125"/>
        <w:gridCol w:w="125"/>
        <w:gridCol w:w="126"/>
        <w:gridCol w:w="109"/>
        <w:gridCol w:w="109"/>
        <w:gridCol w:w="109"/>
        <w:gridCol w:w="196"/>
        <w:gridCol w:w="736"/>
        <w:gridCol w:w="109"/>
        <w:gridCol w:w="109"/>
        <w:gridCol w:w="109"/>
        <w:gridCol w:w="109"/>
        <w:gridCol w:w="196"/>
        <w:gridCol w:w="661"/>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w:t>
              <w:br/>
              <w:t>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Held to Maturity:</w:t>
            </w:r>
          </w:p>
        </w:tc>
        <w:tc>
          <w:tcPr>
            <w:tcW w:w="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Obligations of states and political subdivisions</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securities</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mortgage obligations</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mortgage-backed securities:</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securities</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mortgage obligations</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 securities</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Obligations of states and political subdivisions</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mortgage-backed securities:</w:t>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securities</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mortgage obligations</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mortgage-backed securities:</w:t>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securities</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mortgage obligations</w:t>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debt securities</w:t>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evaluates its available for sale investment securities in an unrealized loss position on a quarterly basis. If the Company intends to sell the security or it is more likely than not that it will be required to sell before recovery, the entire unrealized loss is recorded as a loss within noninterest income in the Consolidated Statements of Income along with a corresponding adjustment to the amortized cost basis of the security. If the Company does not intend to sell the security and it is not more likely than not that it will be required to sell the security before recovery of its amortized cost basis, the Company evaluates if any of the unrealized loss is related to a potential credit loss. The amount related to credit loss, if any, is recognized in earnings as a provision for credit loss and a corresponding allowance for credit losses is established; each is calculated as the difference between the estimate of the discounted future contractual cash flows and the amortized cost basis of the security. A number of qualitative and quantitative factors are considered by management in the estimate of the discounted future contractual cash flows, including the financial condition of the underlying issuer, current and projected deferrals or defaults and credit ratings by nationally recognized statistical rating agencies. The remaining difference between the fair value and the amortized cost basis of the security is considered the amount related to other market factors and is recognized in other comprehensive income, net of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did not intend to sell any of the securities in an unrealized loss position, and it is not more likely than not that the Company will be required to sell any such security prior to the recovery of its amortized cost basis, which may be maturity. Furthermore, approximately 88% of available for sale securities have the explicit backing of the U.S. government or a guarantee from a U.S. government sponsored enterprise that has perceived credit risk the same as the U.S. government. Performance of these securities has been in line with broader market price performance, indicating that increases in market-based, risk-free rates, and not credit-related factors, are driving losses. When determining the fair value of the contractual cash flows for municipal and corporate securities, the Company considers historical experience with credit sensitive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current market conditions, the financial condition of the underlying issuer, current credit ratings, ratings changes and outlook, explicit and implicit guarantees, or insurance programs. Based upon its review of these factors as of March 31, 2026, the Company determined that all such losses resulted from factors not deemed credit-related. As a result, no credit-related impairment was recognized in current earnings, and all unrealized losses for available for sale securities were recorded in other comprehensive income (loss). See Note 12, “Other Comprehensive Income” for more information on the Company’s unrealized losses on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on held to maturity securities was $32 at each of March 31, 2026 and December 31, 2025. The Company monitors the credit quality of debt securities held to maturity using bond investment grades assigned by nationally recognized statistical ratings agencies. Updated investment grades are obtained as they become available from agencies. As of March 31, 2026, all of the debt securities held to maturity were rated A or higher by the ratings agencies.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Loans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Number of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purposes of this Note 4, all references to “loans” mean loans excluding loans held for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loans and leases as of the dates presented:</w:t>
      </w:r>
    </w:p>
    <w:p>
      <w:pPr>
        <w:pStyle w:val="TextBody"/>
        <w:bidi w:val="0"/>
        <w:spacing w:before="0" w:after="0"/>
        <w:jc w:val="left"/>
        <w:rPr/>
      </w:pPr>
      <w:r>
        <w:rPr/>
      </w:r>
    </w:p>
    <w:tbl>
      <w:tblPr>
        <w:tblW w:w="7171" w:type="dxa"/>
        <w:jc w:val="left"/>
        <w:tblInd w:w="0" w:type="dxa"/>
        <w:tblLayout w:type="fixed"/>
        <w:tblCellMar>
          <w:top w:w="28" w:type="dxa"/>
          <w:left w:w="28" w:type="dxa"/>
          <w:bottom w:w="28" w:type="dxa"/>
          <w:right w:w="28" w:type="dxa"/>
        </w:tblCellMar>
      </w:tblPr>
      <w:tblGrid>
        <w:gridCol w:w="1329"/>
        <w:gridCol w:w="1170"/>
        <w:gridCol w:w="1175"/>
        <w:gridCol w:w="211"/>
        <w:gridCol w:w="1081"/>
        <w:gridCol w:w="109"/>
        <w:gridCol w:w="109"/>
        <w:gridCol w:w="109"/>
        <w:gridCol w:w="109"/>
        <w:gridCol w:w="258"/>
        <w:gridCol w:w="1323"/>
        <w:gridCol w:w="188"/>
      </w:tblGrid>
      <w:tr>
        <w:trPr/>
        <w:tc>
          <w:tcPr>
            <w:tcW w:w="132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2,818,326 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1,522,863 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construction and land development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1,905,636 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3,844,097 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lien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52,943 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737,993 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 – 1-4 family mortgage</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4,635,033 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3,334,664 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 family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1,392,779 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4,852,701 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 - non-owner occupied</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6,135,543 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6,245,480 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107,900 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 of unearned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18,975,248 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19,047,039 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had unearned income of $5,940 and $5,152, unamortized net deferred (fees)/costs of $(1,743) and $(1,900) and unamortized purchase accounting discounts, net of premiums, of $146,156 and $161,591 at March 31, 2026 and December 31, 2025, respectively.</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an aging of past due accruing and nonaccruing loans, segregated by class, as of the dates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0205" w:type="dxa"/>
        <w:jc w:val="center"/>
        <w:tblInd w:w="0" w:type="dxa"/>
        <w:tblLayout w:type="fixed"/>
        <w:tblCellMar>
          <w:top w:w="28" w:type="dxa"/>
          <w:left w:w="28" w:type="dxa"/>
          <w:bottom w:w="28" w:type="dxa"/>
          <w:right w:w="28" w:type="dxa"/>
        </w:tblCellMar>
      </w:tblPr>
      <w:tblGrid>
        <w:gridCol w:w="710"/>
        <w:gridCol w:w="530"/>
        <w:gridCol w:w="534"/>
        <w:gridCol w:w="196"/>
        <w:gridCol w:w="646"/>
        <w:gridCol w:w="109"/>
        <w:gridCol w:w="109"/>
        <w:gridCol w:w="109"/>
        <w:gridCol w:w="109"/>
        <w:gridCol w:w="196"/>
        <w:gridCol w:w="556"/>
        <w:gridCol w:w="109"/>
        <w:gridCol w:w="109"/>
        <w:gridCol w:w="109"/>
        <w:gridCol w:w="109"/>
        <w:gridCol w:w="196"/>
        <w:gridCol w:w="961"/>
        <w:gridCol w:w="109"/>
        <w:gridCol w:w="109"/>
        <w:gridCol w:w="109"/>
        <w:gridCol w:w="109"/>
        <w:gridCol w:w="196"/>
        <w:gridCol w:w="961"/>
        <w:gridCol w:w="109"/>
        <w:gridCol w:w="109"/>
        <w:gridCol w:w="109"/>
        <w:gridCol w:w="109"/>
        <w:gridCol w:w="214"/>
        <w:gridCol w:w="805"/>
        <w:gridCol w:w="119"/>
        <w:gridCol w:w="109"/>
        <w:gridCol w:w="109"/>
        <w:gridCol w:w="109"/>
        <w:gridCol w:w="196"/>
        <w:gridCol w:w="961"/>
        <w:gridCol w:w="157"/>
      </w:tblGrid>
      <w:tr>
        <w:trPr/>
        <w:tc>
          <w:tcPr>
            <w:tcW w:w="71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Accruing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30-89 Days</w:t>
              <w:b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90 Days</w:t>
              <w:br/>
              <w:t>or More</w:t>
              <w:b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Current</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Nonaccruing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br/>
              <w:t>Loans</w:t>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March 31, 2026</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2,895,477 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425,543 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1,473,086 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land development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1,898,629 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 1-4 family mortgage: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3,792,685 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Junior lien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738,917 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real estate – 1-4 family mortgage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4,523,147 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60,971 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4,584,118 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 owner occupied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3,322,946 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3,357,965 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 non-owner occupied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 family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1,278,646 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4,808,791 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4,856,897 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 - non-owner occupied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6,079,362 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6,086,668 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6,135,543 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net of unearned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18,706,357 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18,777,733 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197,515 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18,975,248 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688"/>
        <w:gridCol w:w="606"/>
        <w:gridCol w:w="608"/>
        <w:gridCol w:w="196"/>
        <w:gridCol w:w="646"/>
        <w:gridCol w:w="109"/>
        <w:gridCol w:w="109"/>
        <w:gridCol w:w="109"/>
        <w:gridCol w:w="109"/>
        <w:gridCol w:w="196"/>
        <w:gridCol w:w="421"/>
        <w:gridCol w:w="109"/>
        <w:gridCol w:w="109"/>
        <w:gridCol w:w="109"/>
        <w:gridCol w:w="109"/>
        <w:gridCol w:w="196"/>
        <w:gridCol w:w="961"/>
        <w:gridCol w:w="109"/>
        <w:gridCol w:w="109"/>
        <w:gridCol w:w="109"/>
        <w:gridCol w:w="109"/>
        <w:gridCol w:w="196"/>
        <w:gridCol w:w="961"/>
        <w:gridCol w:w="109"/>
        <w:gridCol w:w="109"/>
        <w:gridCol w:w="109"/>
        <w:gridCol w:w="109"/>
        <w:gridCol w:w="216"/>
        <w:gridCol w:w="811"/>
        <w:gridCol w:w="119"/>
        <w:gridCol w:w="109"/>
        <w:gridCol w:w="109"/>
        <w:gridCol w:w="109"/>
        <w:gridCol w:w="196"/>
        <w:gridCol w:w="961"/>
        <w:gridCol w:w="156"/>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Accruing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30-89 Days</w:t>
              <w:b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90 Days</w:t>
              <w:br/>
              <w:t>or More</w:t>
              <w:br/>
              <w:t>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Current</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Nonaccruing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Total</w:t>
              <w:br/>
              <w:t>Loans</w:t>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2,818,326 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and land development</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1,522,863 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construction and land development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1,905,636 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 1-4 family mortgage: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3,727,587 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3,844,097 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Junior lien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737,993 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real estate – 1-4 family mortgage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4,569,609 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4,635,033 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 owner occupied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3,303,361 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31,303 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3,334,664 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 - non-owner occupied</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 family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4,852,701 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real estate - non-owner occupied</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6,190,490 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6,202,085 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6,245,480 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net of unearned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18,781,859 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18,871,309 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175,730 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19,047,039 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
        <w:jc w:val="left"/>
        <w:rPr>
          <w:rFonts w:ascii="Times New Roman;serif" w:hAnsi="Times New Roman;serif"/>
          <w:b w:val="false"/>
          <w:color w:val="000000"/>
          <w:sz w:val="20"/>
        </w:rPr>
      </w:pPr>
      <w:r>
        <w:rPr>
          <w:rFonts w:ascii="Times New Roman;serif" w:hAnsi="Times New Roman;serif"/>
          <w:b w:val="false"/>
          <w:color w:val="000000"/>
          <w:sz w:val="20"/>
        </w:rPr>
        <w:t>Interest income recognized on nonaccrual loans for the three months ended March 31, 2026 and 2025 was immaterial.</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Certain Modifications to Borrowers Experiencing Financial Difficulty</w: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amortized cost basis of loans that were experiencing financial difficulty and modified during the three months ended March 31, 2026 and 2025, respectively, by class of financing receivable and by type of modification.</w:t>
      </w:r>
    </w:p>
    <w:p>
      <w:pPr>
        <w:pStyle w:val="TextBody"/>
        <w:bidi w:val="0"/>
        <w:spacing w:before="100" w:after="180"/>
        <w:jc w:val="both"/>
        <w:rPr/>
      </w:pPr>
      <w:r>
        <w:rPr/>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558"/>
        <w:gridCol w:w="447"/>
        <w:gridCol w:w="448"/>
        <w:gridCol w:w="287"/>
        <w:gridCol w:w="618"/>
        <w:gridCol w:w="161"/>
        <w:gridCol w:w="109"/>
        <w:gridCol w:w="109"/>
        <w:gridCol w:w="109"/>
        <w:gridCol w:w="254"/>
        <w:gridCol w:w="547"/>
        <w:gridCol w:w="141"/>
        <w:gridCol w:w="109"/>
        <w:gridCol w:w="109"/>
        <w:gridCol w:w="109"/>
        <w:gridCol w:w="109"/>
        <w:gridCol w:w="109"/>
        <w:gridCol w:w="205"/>
        <w:gridCol w:w="679"/>
        <w:gridCol w:w="114"/>
        <w:gridCol w:w="109"/>
        <w:gridCol w:w="109"/>
        <w:gridCol w:w="109"/>
        <w:gridCol w:w="320"/>
        <w:gridCol w:w="689"/>
        <w:gridCol w:w="178"/>
        <w:gridCol w:w="109"/>
        <w:gridCol w:w="109"/>
        <w:gridCol w:w="109"/>
        <w:gridCol w:w="109"/>
        <w:gridCol w:w="109"/>
        <w:gridCol w:w="109"/>
        <w:gridCol w:w="109"/>
        <w:gridCol w:w="109"/>
        <w:gridCol w:w="109"/>
        <w:gridCol w:w="196"/>
        <w:gridCol w:w="646"/>
        <w:gridCol w:w="109"/>
        <w:gridCol w:w="109"/>
        <w:gridCol w:w="109"/>
        <w:gridCol w:w="109"/>
        <w:gridCol w:w="321"/>
        <w:gridCol w:w="204"/>
        <w:gridCol w:w="576"/>
      </w:tblGrid>
      <w:tr>
        <w:trPr/>
        <w:tc>
          <w:tcPr>
            <w:tcW w:w="55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2924" w:type="dxa"/>
            <w:gridSpan w:val="14"/>
            <w:tcBorders/>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Reduction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Delay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 and Payment Delay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Total Loans by Class</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construction and land development</w:t>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lien</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 – 1-4 family mortgage</w:t>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 family</w:t>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 - non-owner occupied</w:t>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 of unearned income</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00" w:after="283"/>
        <w:jc w:val="both"/>
        <w:rPr/>
      </w:pPr>
      <w:r>
        <w:rPr/>
      </w:r>
    </w:p>
    <w:tbl>
      <w:tblPr>
        <w:tblW w:w="10205" w:type="dxa"/>
        <w:jc w:val="left"/>
        <w:tblInd w:w="0" w:type="dxa"/>
        <w:tblLayout w:type="fixed"/>
        <w:tblCellMar>
          <w:top w:w="28" w:type="dxa"/>
          <w:left w:w="28" w:type="dxa"/>
          <w:bottom w:w="28" w:type="dxa"/>
          <w:right w:w="28" w:type="dxa"/>
        </w:tblCellMar>
      </w:tblPr>
      <w:tblGrid>
        <w:gridCol w:w="739"/>
        <w:gridCol w:w="617"/>
        <w:gridCol w:w="619"/>
        <w:gridCol w:w="109"/>
        <w:gridCol w:w="126"/>
        <w:gridCol w:w="126"/>
        <w:gridCol w:w="126"/>
        <w:gridCol w:w="240"/>
        <w:gridCol w:w="665"/>
        <w:gridCol w:w="130"/>
        <w:gridCol w:w="126"/>
        <w:gridCol w:w="126"/>
        <w:gridCol w:w="126"/>
        <w:gridCol w:w="126"/>
        <w:gridCol w:w="126"/>
        <w:gridCol w:w="126"/>
        <w:gridCol w:w="126"/>
        <w:gridCol w:w="126"/>
        <w:gridCol w:w="109"/>
        <w:gridCol w:w="109"/>
        <w:gridCol w:w="109"/>
        <w:gridCol w:w="639"/>
        <w:gridCol w:w="1328"/>
        <w:gridCol w:w="359"/>
        <w:gridCol w:w="109"/>
        <w:gridCol w:w="109"/>
        <w:gridCol w:w="109"/>
        <w:gridCol w:w="109"/>
        <w:gridCol w:w="109"/>
        <w:gridCol w:w="196"/>
        <w:gridCol w:w="556"/>
        <w:gridCol w:w="109"/>
        <w:gridCol w:w="109"/>
        <w:gridCol w:w="109"/>
        <w:gridCol w:w="109"/>
        <w:gridCol w:w="344"/>
        <w:gridCol w:w="256"/>
        <w:gridCol w:w="714"/>
      </w:tblGrid>
      <w:tr>
        <w:trPr/>
        <w:tc>
          <w:tcPr>
            <w:tcW w:w="73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1" w:type="dxa"/>
            <w:gridSpan w:val="1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5700" w:type="dxa"/>
            <w:gridSpan w:val="20"/>
            <w:tcBorders/>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Extension</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Rate Reduction, Term Extension and Payment Delay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Total Loans by Class</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construction and land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lien</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 – 1-4 family mortgage</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 family</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 - non-owner occupied</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 of unearned income</w:t>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00" w:after="283"/>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weighted average financial effect of loan modifications by class of financing receivable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8393" w:type="dxa"/>
        <w:jc w:val="left"/>
        <w:tblInd w:w="0" w:type="dxa"/>
        <w:tblLayout w:type="fixed"/>
        <w:tblCellMar>
          <w:top w:w="28" w:type="dxa"/>
          <w:left w:w="28" w:type="dxa"/>
          <w:bottom w:w="28" w:type="dxa"/>
          <w:right w:w="28" w:type="dxa"/>
        </w:tblCellMar>
      </w:tblPr>
      <w:tblGrid>
        <w:gridCol w:w="1469"/>
        <w:gridCol w:w="1292"/>
        <w:gridCol w:w="1303"/>
        <w:gridCol w:w="109"/>
        <w:gridCol w:w="109"/>
        <w:gridCol w:w="109"/>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206"/>
      </w:tblGrid>
      <w:tr>
        <w:trPr/>
        <w:tc>
          <w:tcPr>
            <w:tcW w:w="146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Effect</w:t>
            </w:r>
          </w:p>
        </w:tc>
      </w:tr>
      <w:tr>
        <w:trPr/>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Rate Reduction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the interest rate 105 basis points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the interest rate 125 basis points</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Extended the term 7 months</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Extended the term 12 months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 - 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Extended the term 34 months</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Payment Delay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the payment 13 months</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 - 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the payment 15 months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 - Home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the payment 121 months</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the payment 7 months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the payment 10 months</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Delayed the payment 24 months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Term Extension and Payment Delay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Extended the term and delayed the payment 12 months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 - 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Extended the term and delayed the payment 21 months</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Extended the term and delayed the payment 8 months</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Extended the term and delayed the payment 39 months</w:t>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564" w:type="dxa"/>
            <w:gridSpan w:val="24"/>
            <w:tcBorders/>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564" w:type="dxa"/>
            <w:gridSpan w:val="24"/>
            <w:tcBorders/>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564" w:type="dxa"/>
            <w:gridSpan w:val="24"/>
            <w:tcBorders/>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564" w:type="dxa"/>
            <w:gridSpan w:val="24"/>
            <w:tcBorders/>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3564" w:type="dxa"/>
            <w:gridSpan w:val="24"/>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16"/>
        <w:gridCol w:w="1290"/>
        <w:gridCol w:w="1301"/>
        <w:gridCol w:w="109"/>
        <w:gridCol w:w="109"/>
        <w:gridCol w:w="109"/>
        <w:gridCol w:w="206"/>
        <w:gridCol w:w="206"/>
        <w:gridCol w:w="206"/>
        <w:gridCol w:w="206"/>
        <w:gridCol w:w="206"/>
        <w:gridCol w:w="206"/>
        <w:gridCol w:w="206"/>
        <w:gridCol w:w="206"/>
        <w:gridCol w:w="206"/>
        <w:gridCol w:w="206"/>
        <w:gridCol w:w="206"/>
        <w:gridCol w:w="206"/>
        <w:gridCol w:w="206"/>
        <w:gridCol w:w="206"/>
        <w:gridCol w:w="206"/>
        <w:gridCol w:w="206"/>
        <w:gridCol w:w="206"/>
        <w:gridCol w:w="206"/>
        <w:gridCol w:w="206"/>
        <w:gridCol w:w="206"/>
        <w:gridCol w:w="206"/>
        <w:gridCol w:w="206"/>
        <w:gridCol w:w="206"/>
        <w:gridCol w:w="206"/>
        <w:gridCol w:w="206"/>
        <w:gridCol w:w="206"/>
        <w:gridCol w:w="315"/>
      </w:tblGrid>
      <w:tr>
        <w:trPr/>
        <w:tc>
          <w:tcPr>
            <w:tcW w:w="161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Effect</w:t>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5053" w:type="dxa"/>
            <w:gridSpan w:val="24"/>
            <w:tcBorders/>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5053" w:type="dxa"/>
            <w:gridSpan w:val="24"/>
            <w:tcBorders/>
          </w:tcPr>
          <w:p>
            <w:pPr>
              <w:pStyle w:val="TableContents"/>
              <w:bidi w:val="0"/>
              <w:spacing w:before="0" w:after="283"/>
              <w:jc w:val="left"/>
              <w:rPr>
                <w:sz w:val="4"/>
                <w:szCs w:val="4"/>
              </w:rPr>
            </w:pPr>
            <w:r>
              <w:rPr>
                <w:sz w:val="4"/>
                <w:szCs w:val="4"/>
              </w:rPr>
            </w:r>
          </w:p>
        </w:tc>
      </w:tr>
      <w:tr>
        <w:trPr/>
        <w:tc>
          <w:tcPr>
            <w:tcW w:w="4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Term Extension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Extended the term 12 months</w:t>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5053" w:type="dxa"/>
            <w:gridSpan w:val="24"/>
            <w:tcBorders/>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5053" w:type="dxa"/>
            <w:gridSpan w:val="24"/>
            <w:tcBorders/>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5053" w:type="dxa"/>
            <w:gridSpan w:val="24"/>
            <w:tcBorders/>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5053" w:type="dxa"/>
            <w:gridSpan w:val="24"/>
            <w:tcBorders/>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5053" w:type="dxa"/>
            <w:gridSpan w:val="24"/>
            <w:tcBorders/>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5053" w:type="dxa"/>
            <w:gridSpan w:val="24"/>
            <w:tcBorders/>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5053" w:type="dxa"/>
            <w:gridSpan w:val="24"/>
            <w:tcBorders/>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5053" w:type="dxa"/>
            <w:gridSpan w:val="24"/>
            <w:tcBorders/>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4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5053" w:type="dxa"/>
            <w:gridSpan w:val="24"/>
            <w:tcBorders/>
          </w:tcPr>
          <w:p>
            <w:pPr>
              <w:pStyle w:val="TableContents"/>
              <w:bidi w:val="0"/>
              <w:spacing w:before="0" w:after="283"/>
              <w:jc w:val="left"/>
              <w:rPr>
                <w:sz w:val="4"/>
                <w:szCs w:val="4"/>
              </w:rPr>
            </w:pPr>
            <w:r>
              <w:rPr>
                <w:sz w:val="4"/>
                <w:szCs w:val="4"/>
              </w:rPr>
            </w:r>
          </w:p>
        </w:tc>
      </w:tr>
      <w:tr>
        <w:trPr/>
        <w:tc>
          <w:tcPr>
            <w:tcW w:w="4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Combination - Interest Rate Reduction, Term Extension and Payment Delay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1"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Reduced the interest rate 425 basis points and extended the term and delayed the payment 49 months</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Unused commitments relating to modified loans totaled $24 at March 31, 2026. There were no unused commitments relating to modified loans at March 31, 2025. There were no loan modifications in the three months ended March 31, 2026 and 2025 for which the accrual or past due status deteriorated since the quarter of modification.</w:t>
      </w:r>
    </w:p>
    <w:p>
      <w:pPr>
        <w:pStyle w:val="TextBody"/>
        <w:bidi w:val="0"/>
        <w:spacing w:lineRule="auto" w:line="288" w:before="80" w:after="180"/>
        <w:jc w:val="both"/>
        <w:rPr>
          <w:rFonts w:ascii="Times New Roman;serif" w:hAnsi="Times New Roman;serif"/>
          <w:b w:val="false"/>
          <w:i/>
          <w:color w:val="000000"/>
          <w:sz w:val="20"/>
        </w:rPr>
      </w:pPr>
      <w:r>
        <w:rPr>
          <w:rFonts w:ascii="Times New Roman;serif" w:hAnsi="Times New Roman;serif"/>
          <w:b w:val="false"/>
          <w:i/>
          <w:color w:val="000000"/>
          <w:sz w:val="20"/>
        </w:rPr>
        <w:t>Loans Pledged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Federal Home Loan Bank (“FHLB”) of Dallas maintains a blanket lien on the Company’s loan portfolio to be pledged as collateral for various FHLB products. In addition, the Company pledged $706,245 and $681,719 of its non-real estate loan portfolio to the Federal Reserve as collateral at the Discount Window at March 31, 2026 and December 31, 2025, respectively.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Credit Quality</w:t>
      </w:r>
    </w:p>
    <w:p>
      <w:pPr>
        <w:pStyle w:val="TextBody"/>
        <w:bidi w:val="0"/>
        <w:spacing w:lineRule="auto" w:line="288" w:before="10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Company’s loan portfolio by year of origination or renewal and internal risk-rating grades as of the dates presented: </w:t>
      </w:r>
    </w:p>
    <w:tbl>
      <w:tblPr>
        <w:tblW w:w="10735" w:type="dxa"/>
        <w:jc w:val="left"/>
        <w:tblInd w:w="0" w:type="dxa"/>
        <w:tblLayout w:type="fixed"/>
        <w:tblCellMar>
          <w:top w:w="28" w:type="dxa"/>
          <w:left w:w="28" w:type="dxa"/>
          <w:bottom w:w="28" w:type="dxa"/>
          <w:right w:w="28" w:type="dxa"/>
        </w:tblCellMar>
      </w:tblPr>
      <w:tblGrid>
        <w:gridCol w:w="460"/>
        <w:gridCol w:w="353"/>
        <w:gridCol w:w="193"/>
        <w:gridCol w:w="196"/>
        <w:gridCol w:w="751"/>
        <w:gridCol w:w="109"/>
        <w:gridCol w:w="196"/>
        <w:gridCol w:w="751"/>
        <w:gridCol w:w="109"/>
        <w:gridCol w:w="196"/>
        <w:gridCol w:w="751"/>
        <w:gridCol w:w="109"/>
        <w:gridCol w:w="196"/>
        <w:gridCol w:w="751"/>
        <w:gridCol w:w="109"/>
        <w:gridCol w:w="196"/>
        <w:gridCol w:w="751"/>
        <w:gridCol w:w="109"/>
        <w:gridCol w:w="196"/>
        <w:gridCol w:w="751"/>
        <w:gridCol w:w="109"/>
        <w:gridCol w:w="196"/>
        <w:gridCol w:w="886"/>
        <w:gridCol w:w="109"/>
        <w:gridCol w:w="196"/>
        <w:gridCol w:w="661"/>
        <w:gridCol w:w="109"/>
        <w:gridCol w:w="196"/>
        <w:gridCol w:w="886"/>
        <w:gridCol w:w="154"/>
      </w:tblGrid>
      <w:tr>
        <w:trPr/>
        <w:tc>
          <w:tcPr>
            <w:tcW w:w="4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3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Amortized Cost Basis by Origination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 Converted to Term</w:t>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Loans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144,024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621,402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263,587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171,598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240,658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216,053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1,195,723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24,285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2,877,330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2,752,648 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0975" w:type="dxa"/>
        <w:jc w:val="left"/>
        <w:tblInd w:w="0" w:type="dxa"/>
        <w:tblLayout w:type="fixed"/>
        <w:tblCellMar>
          <w:top w:w="28" w:type="dxa"/>
          <w:left w:w="28" w:type="dxa"/>
          <w:bottom w:w="28" w:type="dxa"/>
          <w:right w:w="28" w:type="dxa"/>
        </w:tblCellMar>
      </w:tblPr>
      <w:tblGrid>
        <w:gridCol w:w="595"/>
        <w:gridCol w:w="250"/>
        <w:gridCol w:w="221"/>
        <w:gridCol w:w="196"/>
        <w:gridCol w:w="751"/>
        <w:gridCol w:w="109"/>
        <w:gridCol w:w="196"/>
        <w:gridCol w:w="886"/>
        <w:gridCol w:w="109"/>
        <w:gridCol w:w="196"/>
        <w:gridCol w:w="751"/>
        <w:gridCol w:w="109"/>
        <w:gridCol w:w="196"/>
        <w:gridCol w:w="751"/>
        <w:gridCol w:w="109"/>
        <w:gridCol w:w="196"/>
        <w:gridCol w:w="886"/>
        <w:gridCol w:w="109"/>
        <w:gridCol w:w="196"/>
        <w:gridCol w:w="886"/>
        <w:gridCol w:w="109"/>
        <w:gridCol w:w="196"/>
        <w:gridCol w:w="751"/>
        <w:gridCol w:w="109"/>
        <w:gridCol w:w="196"/>
        <w:gridCol w:w="571"/>
        <w:gridCol w:w="109"/>
        <w:gridCol w:w="196"/>
        <w:gridCol w:w="886"/>
        <w:gridCol w:w="154"/>
      </w:tblGrid>
      <w:tr>
        <w:trPr/>
        <w:tc>
          <w:tcPr>
            <w:tcW w:w="59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205,209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894,698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342,153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159,867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63,496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64,403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1,759,042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1,413,223 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Real Estate - 1-4 Family Mortgage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56,452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261,888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138,930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127,971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180,656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107,710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1,041,453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Junior lien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 - owner occupied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136,133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541,997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591,215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435,877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512,962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931,102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208,484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3,357,965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886,302 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3,249,238 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 - non owner occupied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235,122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1,662,878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741,602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626,111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1,584,214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1,187,054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96,538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6,135,543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 family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1410" w:type="dxa"/>
        <w:jc w:val="left"/>
        <w:tblInd w:w="0" w:type="dxa"/>
        <w:tblLayout w:type="fixed"/>
        <w:tblCellMar>
          <w:top w:w="28" w:type="dxa"/>
          <w:left w:w="28" w:type="dxa"/>
          <w:bottom w:w="28" w:type="dxa"/>
          <w:right w:w="28" w:type="dxa"/>
        </w:tblCellMar>
      </w:tblPr>
      <w:tblGrid>
        <w:gridCol w:w="445"/>
        <w:gridCol w:w="249"/>
        <w:gridCol w:w="222"/>
        <w:gridCol w:w="196"/>
        <w:gridCol w:w="751"/>
        <w:gridCol w:w="109"/>
        <w:gridCol w:w="196"/>
        <w:gridCol w:w="886"/>
        <w:gridCol w:w="109"/>
        <w:gridCol w:w="196"/>
        <w:gridCol w:w="886"/>
        <w:gridCol w:w="109"/>
        <w:gridCol w:w="196"/>
        <w:gridCol w:w="886"/>
        <w:gridCol w:w="109"/>
        <w:gridCol w:w="196"/>
        <w:gridCol w:w="886"/>
        <w:gridCol w:w="109"/>
        <w:gridCol w:w="196"/>
        <w:gridCol w:w="886"/>
        <w:gridCol w:w="109"/>
        <w:gridCol w:w="196"/>
        <w:gridCol w:w="886"/>
        <w:gridCol w:w="109"/>
        <w:gridCol w:w="196"/>
        <w:gridCol w:w="661"/>
        <w:gridCol w:w="109"/>
        <w:gridCol w:w="196"/>
        <w:gridCol w:w="976"/>
        <w:gridCol w:w="154"/>
      </w:tblGrid>
      <w:tr>
        <w:trPr/>
        <w:tc>
          <w:tcPr>
            <w:tcW w:w="44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4,856,897 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4,668,641 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Consumer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loans subject to risk rating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776,940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3,982,863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2,077,487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1,521,527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2,581,986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2,529,257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1,672,905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28,518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15,171,483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3,924,760 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2,409,784 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14,701,555 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20"/>
        <w:jc w:val="both"/>
        <w:rPr/>
      </w:pPr>
      <w:r>
        <w:rPr/>
      </w:r>
    </w:p>
    <w:tbl>
      <w:tblPr>
        <w:tblW w:w="10840" w:type="dxa"/>
        <w:jc w:val="left"/>
        <w:tblInd w:w="0" w:type="dxa"/>
        <w:tblLayout w:type="fixed"/>
        <w:tblCellMar>
          <w:top w:w="28" w:type="dxa"/>
          <w:left w:w="28" w:type="dxa"/>
          <w:bottom w:w="28" w:type="dxa"/>
          <w:right w:w="28" w:type="dxa"/>
        </w:tblCellMar>
      </w:tblPr>
      <w:tblGrid>
        <w:gridCol w:w="402"/>
        <w:gridCol w:w="354"/>
        <w:gridCol w:w="355"/>
        <w:gridCol w:w="196"/>
        <w:gridCol w:w="751"/>
        <w:gridCol w:w="109"/>
        <w:gridCol w:w="196"/>
        <w:gridCol w:w="751"/>
        <w:gridCol w:w="109"/>
        <w:gridCol w:w="196"/>
        <w:gridCol w:w="751"/>
        <w:gridCol w:w="109"/>
        <w:gridCol w:w="196"/>
        <w:gridCol w:w="751"/>
        <w:gridCol w:w="109"/>
        <w:gridCol w:w="196"/>
        <w:gridCol w:w="751"/>
        <w:gridCol w:w="109"/>
        <w:gridCol w:w="196"/>
        <w:gridCol w:w="751"/>
        <w:gridCol w:w="109"/>
        <w:gridCol w:w="196"/>
        <w:gridCol w:w="886"/>
        <w:gridCol w:w="109"/>
        <w:gridCol w:w="196"/>
        <w:gridCol w:w="661"/>
        <w:gridCol w:w="109"/>
        <w:gridCol w:w="196"/>
        <w:gridCol w:w="886"/>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3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Amortized Cost Basis by Origination Year</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 Converted to Term</w:t>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Loans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664,836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267,767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189,777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250,976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129,199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102,743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1,188,474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24,554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2,818,326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891,047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450,335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235,317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92,070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22,381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61,638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1,763,513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Real Estate - 1-4 Family Mortgage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269,213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150,538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191,230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116,779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71,816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1,044,748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1635" w:type="dxa"/>
        <w:jc w:val="left"/>
        <w:tblInd w:w="0" w:type="dxa"/>
        <w:tblLayout w:type="fixed"/>
        <w:tblCellMar>
          <w:top w:w="28" w:type="dxa"/>
          <w:left w:w="28" w:type="dxa"/>
          <w:bottom w:w="28" w:type="dxa"/>
          <w:right w:w="28" w:type="dxa"/>
        </w:tblCellMar>
      </w:tblPr>
      <w:tblGrid>
        <w:gridCol w:w="422"/>
        <w:gridCol w:w="291"/>
        <w:gridCol w:w="293"/>
        <w:gridCol w:w="196"/>
        <w:gridCol w:w="886"/>
        <w:gridCol w:w="109"/>
        <w:gridCol w:w="196"/>
        <w:gridCol w:w="886"/>
        <w:gridCol w:w="109"/>
        <w:gridCol w:w="196"/>
        <w:gridCol w:w="886"/>
        <w:gridCol w:w="109"/>
        <w:gridCol w:w="196"/>
        <w:gridCol w:w="886"/>
        <w:gridCol w:w="109"/>
        <w:gridCol w:w="196"/>
        <w:gridCol w:w="886"/>
        <w:gridCol w:w="109"/>
        <w:gridCol w:w="196"/>
        <w:gridCol w:w="886"/>
        <w:gridCol w:w="109"/>
        <w:gridCol w:w="196"/>
        <w:gridCol w:w="886"/>
        <w:gridCol w:w="109"/>
        <w:gridCol w:w="196"/>
        <w:gridCol w:w="661"/>
        <w:gridCol w:w="109"/>
        <w:gridCol w:w="196"/>
        <w:gridCol w:w="976"/>
        <w:gridCol w:w="154"/>
      </w:tblGrid>
      <w:tr>
        <w:trPr/>
        <w:tc>
          <w:tcPr>
            <w:tcW w:w="42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Junior lien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 - owner occupied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501,919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602,513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453,290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541,607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465,069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558,280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211,986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3,334,664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3,228,699 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 - non owner occupied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1,696,446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753,232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597,999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1,748,638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676,417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657,353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6,245,480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 family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4,852,701 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4,649,703 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loans subject to risk rating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4,023,461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2,224,385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1,613,579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2,824,521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1,409,845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1,399,412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1,682,972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28,558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15,206,733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1,579,008 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14,706,014 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Special mention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Classified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performing status of the Company’s loan portfolio not subject to risk rating as of the dates presented:</w:t>
      </w:r>
    </w:p>
    <w:p>
      <w:pPr>
        <w:pStyle w:val="TextBody"/>
        <w:bidi w:val="0"/>
        <w:spacing w:before="0" w:after="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0915" w:type="dxa"/>
        <w:jc w:val="left"/>
        <w:tblInd w:w="0" w:type="dxa"/>
        <w:tblLayout w:type="fixed"/>
        <w:tblCellMar>
          <w:top w:w="28" w:type="dxa"/>
          <w:left w:w="28" w:type="dxa"/>
          <w:bottom w:w="28" w:type="dxa"/>
          <w:right w:w="28" w:type="dxa"/>
        </w:tblCellMar>
      </w:tblPr>
      <w:tblGrid>
        <w:gridCol w:w="730"/>
        <w:gridCol w:w="353"/>
        <w:gridCol w:w="193"/>
        <w:gridCol w:w="196"/>
        <w:gridCol w:w="661"/>
        <w:gridCol w:w="109"/>
        <w:gridCol w:w="196"/>
        <w:gridCol w:w="751"/>
        <w:gridCol w:w="109"/>
        <w:gridCol w:w="196"/>
        <w:gridCol w:w="751"/>
        <w:gridCol w:w="109"/>
        <w:gridCol w:w="196"/>
        <w:gridCol w:w="751"/>
        <w:gridCol w:w="109"/>
        <w:gridCol w:w="196"/>
        <w:gridCol w:w="751"/>
        <w:gridCol w:w="109"/>
        <w:gridCol w:w="196"/>
        <w:gridCol w:w="886"/>
        <w:gridCol w:w="109"/>
        <w:gridCol w:w="196"/>
        <w:gridCol w:w="751"/>
        <w:gridCol w:w="109"/>
        <w:gridCol w:w="196"/>
        <w:gridCol w:w="661"/>
        <w:gridCol w:w="109"/>
        <w:gridCol w:w="196"/>
        <w:gridCol w:w="886"/>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81"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Amortized Cost Basis by Origination Year</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 Converted to Term</w:t>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Loans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2026</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26,725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4,955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139,587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Real Estate - 1-4 Family Mortgage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39,522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327,882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209,551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333,161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785,041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1,220,647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611,258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15,603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3,542,665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Junior lien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 - owner occupied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 - non owner occupied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 family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0915" w:type="dxa"/>
        <w:jc w:val="left"/>
        <w:tblInd w:w="0" w:type="dxa"/>
        <w:tblLayout w:type="fixed"/>
        <w:tblCellMar>
          <w:top w:w="28" w:type="dxa"/>
          <w:left w:w="28" w:type="dxa"/>
          <w:bottom w:w="28" w:type="dxa"/>
          <w:right w:w="28" w:type="dxa"/>
        </w:tblCellMar>
      </w:tblPr>
      <w:tblGrid>
        <w:gridCol w:w="499"/>
        <w:gridCol w:w="437"/>
        <w:gridCol w:w="340"/>
        <w:gridCol w:w="196"/>
        <w:gridCol w:w="661"/>
        <w:gridCol w:w="109"/>
        <w:gridCol w:w="196"/>
        <w:gridCol w:w="751"/>
        <w:gridCol w:w="109"/>
        <w:gridCol w:w="196"/>
        <w:gridCol w:w="751"/>
        <w:gridCol w:w="109"/>
        <w:gridCol w:w="196"/>
        <w:gridCol w:w="751"/>
        <w:gridCol w:w="109"/>
        <w:gridCol w:w="196"/>
        <w:gridCol w:w="751"/>
        <w:gridCol w:w="109"/>
        <w:gridCol w:w="196"/>
        <w:gridCol w:w="886"/>
        <w:gridCol w:w="109"/>
        <w:gridCol w:w="196"/>
        <w:gridCol w:w="751"/>
        <w:gridCol w:w="109"/>
        <w:gridCol w:w="196"/>
        <w:gridCol w:w="661"/>
        <w:gridCol w:w="109"/>
        <w:gridCol w:w="196"/>
        <w:gridCol w:w="88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loans not subject to risk rating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82,036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424,789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248,638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355,520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795,045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1,247,120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633,734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3,803,765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3,748,280 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870" w:type="dxa"/>
        <w:jc w:val="left"/>
        <w:tblInd w:w="0" w:type="dxa"/>
        <w:tblLayout w:type="fixed"/>
        <w:tblCellMar>
          <w:top w:w="28" w:type="dxa"/>
          <w:left w:w="28" w:type="dxa"/>
          <w:bottom w:w="28" w:type="dxa"/>
          <w:right w:w="28" w:type="dxa"/>
        </w:tblCellMar>
      </w:tblPr>
      <w:tblGrid>
        <w:gridCol w:w="567"/>
        <w:gridCol w:w="354"/>
        <w:gridCol w:w="355"/>
        <w:gridCol w:w="196"/>
        <w:gridCol w:w="751"/>
        <w:gridCol w:w="109"/>
        <w:gridCol w:w="196"/>
        <w:gridCol w:w="751"/>
        <w:gridCol w:w="109"/>
        <w:gridCol w:w="196"/>
        <w:gridCol w:w="751"/>
        <w:gridCol w:w="109"/>
        <w:gridCol w:w="196"/>
        <w:gridCol w:w="751"/>
        <w:gridCol w:w="109"/>
        <w:gridCol w:w="196"/>
        <w:gridCol w:w="751"/>
        <w:gridCol w:w="109"/>
        <w:gridCol w:w="196"/>
        <w:gridCol w:w="751"/>
        <w:gridCol w:w="109"/>
        <w:gridCol w:w="196"/>
        <w:gridCol w:w="751"/>
        <w:gridCol w:w="109"/>
        <w:gridCol w:w="196"/>
        <w:gridCol w:w="661"/>
        <w:gridCol w:w="109"/>
        <w:gridCol w:w="196"/>
        <w:gridCol w:w="886"/>
        <w:gridCol w:w="154"/>
      </w:tblGrid>
      <w:tr>
        <w:trPr/>
        <w:tc>
          <w:tcPr>
            <w:tcW w:w="5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3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 Loans Amortized Cost Basis by Origination Year</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Prior</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Loans Converted to Term</w:t>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Loans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and industrial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33,823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20,283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142,123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Real Estate - 1-4 Family Mortgage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333,353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345,975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805,063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534,744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733,503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609,124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3,590,285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First lien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Junior lien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0870" w:type="dxa"/>
        <w:jc w:val="left"/>
        <w:tblInd w:w="0" w:type="dxa"/>
        <w:tblLayout w:type="fixed"/>
        <w:tblCellMar>
          <w:top w:w="28" w:type="dxa"/>
          <w:left w:w="28" w:type="dxa"/>
          <w:bottom w:w="28" w:type="dxa"/>
          <w:right w:w="28" w:type="dxa"/>
        </w:tblCellMar>
      </w:tblPr>
      <w:tblGrid>
        <w:gridCol w:w="499"/>
        <w:gridCol w:w="440"/>
        <w:gridCol w:w="337"/>
        <w:gridCol w:w="196"/>
        <w:gridCol w:w="751"/>
        <w:gridCol w:w="109"/>
        <w:gridCol w:w="196"/>
        <w:gridCol w:w="751"/>
        <w:gridCol w:w="109"/>
        <w:gridCol w:w="196"/>
        <w:gridCol w:w="751"/>
        <w:gridCol w:w="109"/>
        <w:gridCol w:w="196"/>
        <w:gridCol w:w="751"/>
        <w:gridCol w:w="109"/>
        <w:gridCol w:w="196"/>
        <w:gridCol w:w="751"/>
        <w:gridCol w:w="109"/>
        <w:gridCol w:w="196"/>
        <w:gridCol w:w="751"/>
        <w:gridCol w:w="109"/>
        <w:gridCol w:w="196"/>
        <w:gridCol w:w="751"/>
        <w:gridCol w:w="109"/>
        <w:gridCol w:w="196"/>
        <w:gridCol w:w="661"/>
        <w:gridCol w:w="109"/>
        <w:gridCol w:w="196"/>
        <w:gridCol w:w="88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 - owner occupied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Commercial real estate - non owner occupied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Multi family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loans not subject to risk rating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439,585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262,671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375,267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817,495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548,701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748,928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631,508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16,151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3,840,306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Performing Loans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Non-Performing Loans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period gross charge-offs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 Allowance for Credit Losses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 on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accrued interest receivable for loans of $68,886 and $54,395, respectively, which is recorded in the “Other assets” line item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roll-forward of the allowance for credit losses by loan category and nonaccrual loans with no allowance for credit losses for the periods presented:</w:t>
      </w:r>
    </w:p>
    <w:tbl>
      <w:tblPr>
        <w:tblW w:w="10205" w:type="dxa"/>
        <w:jc w:val="center"/>
        <w:tblInd w:w="0" w:type="dxa"/>
        <w:tblLayout w:type="fixed"/>
        <w:tblCellMar>
          <w:top w:w="28" w:type="dxa"/>
          <w:left w:w="28" w:type="dxa"/>
          <w:bottom w:w="28" w:type="dxa"/>
          <w:right w:w="28" w:type="dxa"/>
        </w:tblCellMar>
      </w:tblPr>
      <w:tblGrid>
        <w:gridCol w:w="616"/>
        <w:gridCol w:w="231"/>
        <w:gridCol w:w="234"/>
        <w:gridCol w:w="208"/>
        <w:gridCol w:w="688"/>
        <w:gridCol w:w="116"/>
        <w:gridCol w:w="109"/>
        <w:gridCol w:w="109"/>
        <w:gridCol w:w="109"/>
        <w:gridCol w:w="223"/>
        <w:gridCol w:w="736"/>
        <w:gridCol w:w="126"/>
        <w:gridCol w:w="109"/>
        <w:gridCol w:w="109"/>
        <w:gridCol w:w="109"/>
        <w:gridCol w:w="213"/>
        <w:gridCol w:w="703"/>
        <w:gridCol w:w="120"/>
        <w:gridCol w:w="109"/>
        <w:gridCol w:w="109"/>
        <w:gridCol w:w="109"/>
        <w:gridCol w:w="213"/>
        <w:gridCol w:w="703"/>
        <w:gridCol w:w="119"/>
        <w:gridCol w:w="109"/>
        <w:gridCol w:w="109"/>
        <w:gridCol w:w="109"/>
        <w:gridCol w:w="214"/>
        <w:gridCol w:w="707"/>
        <w:gridCol w:w="119"/>
        <w:gridCol w:w="109"/>
        <w:gridCol w:w="109"/>
        <w:gridCol w:w="109"/>
        <w:gridCol w:w="196"/>
        <w:gridCol w:w="556"/>
        <w:gridCol w:w="109"/>
        <w:gridCol w:w="109"/>
        <w:gridCol w:w="109"/>
        <w:gridCol w:w="109"/>
        <w:gridCol w:w="196"/>
        <w:gridCol w:w="736"/>
        <w:gridCol w:w="161"/>
      </w:tblGrid>
      <w:tr>
        <w:trPr/>
        <w:tc>
          <w:tcPr>
            <w:tcW w:w="6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 -</w:t>
              <w:br/>
              <w:t>1-4 Family</w:t>
              <w:br/>
              <w:t>Mortgage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 - 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 - non 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61,249 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charge-offs</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(recovery of) credit losses on loans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65,814 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36,969 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66,653 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84,380 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295,862 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Nonaccruing loans with no allowance for credit losses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tbl>
      <w:tblPr>
        <w:tblW w:w="10205" w:type="dxa"/>
        <w:jc w:val="center"/>
        <w:tblInd w:w="0" w:type="dxa"/>
        <w:tblLayout w:type="fixed"/>
        <w:tblCellMar>
          <w:top w:w="28" w:type="dxa"/>
          <w:left w:w="28" w:type="dxa"/>
          <w:bottom w:w="28" w:type="dxa"/>
          <w:right w:w="28" w:type="dxa"/>
        </w:tblCellMar>
      </w:tblPr>
      <w:tblGrid>
        <w:gridCol w:w="616"/>
        <w:gridCol w:w="231"/>
        <w:gridCol w:w="234"/>
        <w:gridCol w:w="208"/>
        <w:gridCol w:w="688"/>
        <w:gridCol w:w="116"/>
        <w:gridCol w:w="109"/>
        <w:gridCol w:w="109"/>
        <w:gridCol w:w="109"/>
        <w:gridCol w:w="223"/>
        <w:gridCol w:w="736"/>
        <w:gridCol w:w="126"/>
        <w:gridCol w:w="109"/>
        <w:gridCol w:w="109"/>
        <w:gridCol w:w="109"/>
        <w:gridCol w:w="213"/>
        <w:gridCol w:w="703"/>
        <w:gridCol w:w="120"/>
        <w:gridCol w:w="109"/>
        <w:gridCol w:w="109"/>
        <w:gridCol w:w="109"/>
        <w:gridCol w:w="213"/>
        <w:gridCol w:w="703"/>
        <w:gridCol w:w="119"/>
        <w:gridCol w:w="109"/>
        <w:gridCol w:w="109"/>
        <w:gridCol w:w="109"/>
        <w:gridCol w:w="214"/>
        <w:gridCol w:w="707"/>
        <w:gridCol w:w="119"/>
        <w:gridCol w:w="109"/>
        <w:gridCol w:w="109"/>
        <w:gridCol w:w="109"/>
        <w:gridCol w:w="196"/>
        <w:gridCol w:w="556"/>
        <w:gridCol w:w="109"/>
        <w:gridCol w:w="109"/>
        <w:gridCol w:w="109"/>
        <w:gridCol w:w="109"/>
        <w:gridCol w:w="196"/>
        <w:gridCol w:w="736"/>
        <w:gridCol w:w="161"/>
      </w:tblGrid>
      <w:tr>
        <w:trPr/>
        <w:tc>
          <w:tcPr>
            <w:tcW w:w="6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and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and land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 -</w:t>
              <w:br/>
              <w:t>1-4 Family</w:t>
              <w:br/>
              <w:t>Mortgage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 - 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real estate - non owner occupied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201,756 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Charge-offs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recoveries (charge-offs) </w:t>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(Recovery of) provision for credit losses on loans</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Ending balance</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41,884 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20,845 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48,101 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17,826 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68,781 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203,931 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Nonaccruing loans with no allowance for credit losses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 provision for credit losses on loans of $4,224 during the first quarter of 2026, as compared to a provision for credit losses on loans of $2,050 recorded in the first quarter of 2025. The increase in the allowance for credit losses in the first quarter of 2026 was primarily driven by an increase in non-performing loans, changes in the macroeconomic environment and qualitative factors. These factors were partially moderated by the reduction in the loan portfolio. The provision increased in select residential related pools due to the risk of potential stagflation and value declines. The Company’s allowance for credit losses model considers economic projections, primarily the national unemployment rate and GDP, over a reasonable and supportable period of two years, historical loss data, and environmental factors. The allowance for credit losses under CECL is calculated utilizing the probability of default/ loss given default approach for most commercial mortgage related pools, while the average historical life-of-loan loss rate cohort approach is used for the remaining pools.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Collateral Dependent Loans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collateral dependent loans by loan portfolio segment and by type of collateral along with the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related allowance for credit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8481" w:type="dxa"/>
        <w:jc w:val="left"/>
        <w:tblInd w:w="0" w:type="dxa"/>
        <w:tblLayout w:type="fixed"/>
        <w:tblCellMar>
          <w:top w:w="28" w:type="dxa"/>
          <w:left w:w="28" w:type="dxa"/>
          <w:bottom w:w="28" w:type="dxa"/>
          <w:right w:w="28" w:type="dxa"/>
        </w:tblCellMar>
      </w:tblPr>
      <w:tblGrid>
        <w:gridCol w:w="1521"/>
        <w:gridCol w:w="1345"/>
        <w:gridCol w:w="1349"/>
        <w:gridCol w:w="196"/>
        <w:gridCol w:w="646"/>
        <w:gridCol w:w="109"/>
        <w:gridCol w:w="196"/>
        <w:gridCol w:w="646"/>
        <w:gridCol w:w="109"/>
        <w:gridCol w:w="196"/>
        <w:gridCol w:w="736"/>
        <w:gridCol w:w="109"/>
        <w:gridCol w:w="109"/>
        <w:gridCol w:w="109"/>
        <w:gridCol w:w="109"/>
        <w:gridCol w:w="196"/>
        <w:gridCol w:w="646"/>
        <w:gridCol w:w="154"/>
      </w:tblGrid>
      <w:tr>
        <w:trPr/>
        <w:tc>
          <w:tcPr>
            <w:tcW w:w="152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 Type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ACL</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construction and land development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- 1-4 family mortgage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 1-4 family mortgage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 owner occupied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 non-owner occupied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 family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 - non-owner occupied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 of unearned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481" w:type="dxa"/>
        <w:jc w:val="left"/>
        <w:tblInd w:w="0" w:type="dxa"/>
        <w:tblLayout w:type="fixed"/>
        <w:tblCellMar>
          <w:top w:w="28" w:type="dxa"/>
          <w:left w:w="28" w:type="dxa"/>
          <w:bottom w:w="28" w:type="dxa"/>
          <w:right w:w="28" w:type="dxa"/>
        </w:tblCellMar>
      </w:tblPr>
      <w:tblGrid>
        <w:gridCol w:w="1528"/>
        <w:gridCol w:w="1340"/>
        <w:gridCol w:w="1347"/>
        <w:gridCol w:w="196"/>
        <w:gridCol w:w="646"/>
        <w:gridCol w:w="109"/>
        <w:gridCol w:w="196"/>
        <w:gridCol w:w="646"/>
        <w:gridCol w:w="109"/>
        <w:gridCol w:w="196"/>
        <w:gridCol w:w="736"/>
        <w:gridCol w:w="109"/>
        <w:gridCol w:w="109"/>
        <w:gridCol w:w="109"/>
        <w:gridCol w:w="109"/>
        <w:gridCol w:w="196"/>
        <w:gridCol w:w="646"/>
        <w:gridCol w:w="154"/>
      </w:tblGrid>
      <w:tr>
        <w:trPr/>
        <w:tc>
          <w:tcPr>
            <w:tcW w:w="152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 Type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ACL</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construction and land development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- 1-4 family mortgage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 1-4 family mortgage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 owner occupied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 non-owner occupied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 family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 - non-owner occupied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 of unearned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increase in collateral dependent loans since December 31, 2025 is primarily due to the migration of seven relationships totaling $40,534, which was offset by the resolution or credit improvement of certain relationships of approximately $30,862. </w:t>
      </w:r>
    </w:p>
    <w:p>
      <w:pPr>
        <w:pStyle w:val="TextBody"/>
        <w:bidi w:val="0"/>
        <w:spacing w:lineRule="auto" w:line="288" w:before="0" w:after="18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Allowance for Credit Losses on Unfunded Loan Commitments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roll-forward of the allowance for credit losses on unfunded loan commitments for the periods presented. </w:t>
      </w:r>
    </w:p>
    <w:tbl>
      <w:tblPr>
        <w:tblW w:w="7434" w:type="dxa"/>
        <w:jc w:val="center"/>
        <w:tblInd w:w="0" w:type="dxa"/>
        <w:tblLayout w:type="fixed"/>
        <w:tblCellMar>
          <w:top w:w="28" w:type="dxa"/>
          <w:left w:w="28" w:type="dxa"/>
          <w:bottom w:w="28" w:type="dxa"/>
          <w:right w:w="28" w:type="dxa"/>
        </w:tblCellMar>
      </w:tblPr>
      <w:tblGrid>
        <w:gridCol w:w="1800"/>
        <w:gridCol w:w="1584"/>
        <w:gridCol w:w="1596"/>
        <w:gridCol w:w="211"/>
        <w:gridCol w:w="721"/>
        <w:gridCol w:w="109"/>
        <w:gridCol w:w="109"/>
        <w:gridCol w:w="109"/>
        <w:gridCol w:w="109"/>
        <w:gridCol w:w="211"/>
        <w:gridCol w:w="721"/>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unfunded loan commitments: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unfunded loan commitments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losses on unfunded commitments in the first quarter of 2026 was primarily driven by growth in the balance of unfunded loan commitments in the commercial and residential construction related pools.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Goodwill and Other Intangible Assets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carrying amounts of goodwill by operating segments as of March 31, 2026 and December 31, 2025 are set forth in the table below.</w:t>
      </w:r>
    </w:p>
    <w:tbl>
      <w:tblPr>
        <w:tblW w:w="7684" w:type="dxa"/>
        <w:jc w:val="left"/>
        <w:tblInd w:w="0" w:type="dxa"/>
        <w:tblLayout w:type="fixed"/>
        <w:tblCellMar>
          <w:top w:w="28" w:type="dxa"/>
          <w:left w:w="28" w:type="dxa"/>
          <w:bottom w:w="28" w:type="dxa"/>
          <w:right w:w="28" w:type="dxa"/>
        </w:tblCellMar>
      </w:tblPr>
      <w:tblGrid>
        <w:gridCol w:w="1341"/>
        <w:gridCol w:w="1178"/>
        <w:gridCol w:w="1185"/>
        <w:gridCol w:w="234"/>
        <w:gridCol w:w="1085"/>
        <w:gridCol w:w="121"/>
        <w:gridCol w:w="109"/>
        <w:gridCol w:w="109"/>
        <w:gridCol w:w="109"/>
        <w:gridCol w:w="109"/>
        <w:gridCol w:w="109"/>
        <w:gridCol w:w="211"/>
        <w:gridCol w:w="976"/>
        <w:gridCol w:w="109"/>
        <w:gridCol w:w="109"/>
        <w:gridCol w:w="109"/>
        <w:gridCol w:w="109"/>
        <w:gridCol w:w="109"/>
        <w:gridCol w:w="109"/>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2" w:type="dxa"/>
            <w:gridSpan w:val="1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Community Banks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1,405,840 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goodwill from The First merger</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1,406,667 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1,406,667 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finite-lived intangible assets as of the dates presented:</w:t>
      </w:r>
    </w:p>
    <w:p>
      <w:pPr>
        <w:pStyle w:val="TextBody"/>
        <w:bidi w:val="0"/>
        <w:spacing w:lineRule="auto" w:line="288" w:before="0" w:after="0"/>
        <w:jc w:val="left"/>
        <w:rPr>
          <w:color w:val="000000"/>
        </w:rPr>
      </w:pPr>
      <w:r>
        <w:rPr>
          <w:color w:val="000000"/>
        </w:rPr>
        <w:t> </w:t>
      </w:r>
    </w:p>
    <w:tbl>
      <w:tblPr>
        <w:tblW w:w="7221" w:type="dxa"/>
        <w:jc w:val="left"/>
        <w:tblInd w:w="0" w:type="dxa"/>
        <w:tblLayout w:type="fixed"/>
        <w:tblCellMar>
          <w:top w:w="28" w:type="dxa"/>
          <w:left w:w="28" w:type="dxa"/>
          <w:bottom w:w="28" w:type="dxa"/>
          <w:right w:w="28" w:type="dxa"/>
        </w:tblCellMar>
      </w:tblPr>
      <w:tblGrid>
        <w:gridCol w:w="1053"/>
        <w:gridCol w:w="926"/>
        <w:gridCol w:w="930"/>
        <w:gridCol w:w="229"/>
        <w:gridCol w:w="898"/>
        <w:gridCol w:w="119"/>
        <w:gridCol w:w="109"/>
        <w:gridCol w:w="109"/>
        <w:gridCol w:w="109"/>
        <w:gridCol w:w="211"/>
        <w:gridCol w:w="901"/>
        <w:gridCol w:w="109"/>
        <w:gridCol w:w="109"/>
        <w:gridCol w:w="109"/>
        <w:gridCol w:w="109"/>
        <w:gridCol w:w="211"/>
        <w:gridCol w:w="82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deposit intangibles</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242,102 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 intangible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w:t>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249,772 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(111,380)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138,392 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deposit intangibles</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242,102 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 intangible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 assets</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249,772 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(103,160)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146,612 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Amortization expense for finite-lived intangible assets is presented in the table below.</w:t>
      </w:r>
    </w:p>
    <w:tbl>
      <w:tblPr>
        <w:tblW w:w="5605" w:type="dxa"/>
        <w:jc w:val="left"/>
        <w:tblInd w:w="0" w:type="dxa"/>
        <w:tblLayout w:type="fixed"/>
        <w:tblCellMar>
          <w:top w:w="28" w:type="dxa"/>
          <w:left w:w="28" w:type="dxa"/>
          <w:bottom w:w="28" w:type="dxa"/>
          <w:right w:w="28" w:type="dxa"/>
        </w:tblCellMar>
      </w:tblPr>
      <w:tblGrid>
        <w:gridCol w:w="1059"/>
        <w:gridCol w:w="931"/>
        <w:gridCol w:w="935"/>
        <w:gridCol w:w="211"/>
        <w:gridCol w:w="616"/>
        <w:gridCol w:w="109"/>
        <w:gridCol w:w="109"/>
        <w:gridCol w:w="109"/>
        <w:gridCol w:w="109"/>
        <w:gridCol w:w="211"/>
        <w:gridCol w:w="616"/>
        <w:gridCol w:w="109"/>
        <w:gridCol w:w="109"/>
        <w:gridCol w:w="109"/>
        <w:gridCol w:w="109"/>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 for:</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Core deposit intangibles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Customer relationship intangible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Mortgage Servicing Rights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There was no valuation adjustment on MSRs during the three months ended March 31, 2026 or 2025.</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Changes in the Company’s MSRs were as follows:</w:t>
      </w:r>
    </w:p>
    <w:tbl>
      <w:tblPr>
        <w:tblW w:w="4253" w:type="dxa"/>
        <w:jc w:val="left"/>
        <w:tblInd w:w="0" w:type="dxa"/>
        <w:tblLayout w:type="fixed"/>
        <w:tblCellMar>
          <w:top w:w="28" w:type="dxa"/>
          <w:left w:w="28" w:type="dxa"/>
          <w:bottom w:w="28" w:type="dxa"/>
          <w:right w:w="28" w:type="dxa"/>
        </w:tblCellMar>
      </w:tblPr>
      <w:tblGrid>
        <w:gridCol w:w="652"/>
        <w:gridCol w:w="571"/>
        <w:gridCol w:w="576"/>
        <w:gridCol w:w="211"/>
        <w:gridCol w:w="721"/>
        <w:gridCol w:w="109"/>
        <w:gridCol w:w="109"/>
        <w:gridCol w:w="109"/>
        <w:gridCol w:w="109"/>
        <w:gridCol w:w="211"/>
        <w:gridCol w:w="721"/>
        <w:gridCol w:w="154"/>
      </w:tblGrid>
      <w:tr>
        <w:trPr/>
        <w:tc>
          <w:tcPr>
            <w:tcW w:w="65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Data and key economic assumptions related to the Company’s MSRs are as follows as of the dates presented:</w:t>
      </w:r>
    </w:p>
    <w:tbl>
      <w:tblPr>
        <w:tblW w:w="7560" w:type="dxa"/>
        <w:jc w:val="left"/>
        <w:tblInd w:w="0" w:type="dxa"/>
        <w:tblLayout w:type="fixed"/>
        <w:tblCellMar>
          <w:top w:w="28" w:type="dxa"/>
          <w:left w:w="28" w:type="dxa"/>
          <w:bottom w:w="28" w:type="dxa"/>
          <w:right w:w="28" w:type="dxa"/>
        </w:tblCellMar>
      </w:tblPr>
      <w:tblGrid>
        <w:gridCol w:w="1451"/>
        <w:gridCol w:w="1272"/>
        <w:gridCol w:w="1282"/>
        <w:gridCol w:w="211"/>
        <w:gridCol w:w="976"/>
        <w:gridCol w:w="271"/>
        <w:gridCol w:w="109"/>
        <w:gridCol w:w="109"/>
        <w:gridCol w:w="109"/>
        <w:gridCol w:w="248"/>
        <w:gridCol w:w="1150"/>
        <w:gridCol w:w="372"/>
      </w:tblGrid>
      <w:tr>
        <w:trPr/>
        <w:tc>
          <w:tcPr>
            <w:tcW w:w="145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principal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5,627,718 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5,648,033 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prepayment speed (CPR)</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impact of a 10% increase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impact of a 20% increase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impact of a 10% increase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impact of a 20% increase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coupon interest rate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3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servicing fee (basis points)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maturity (in years)</w:t>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w:t>
            </w:r>
          </w:p>
        </w:tc>
      </w:tr>
    </w:tbl>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movement of mortgage interest rates has an inverse relationship with prepayment speeds and discount rates. </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servicing fees of $3,289 and $3,656 for the three months ended March 31, 2026 and 2025, respectively, all of which are included in “Mortgage banking income” in the Consolidated Statements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Employee Benefit and Deferred Compensation Plans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tbl>
      <w:tblPr>
        <w:tblW w:w="311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gridSpan w:val="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11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Incentive Compensation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maintains the 2020 Long-Term Incentive Compensation Plan, a long-term equity compensation plan that provides for the award of restricted stock and the grant of stock options. The Company awards performance-based restricted stock to executives and other officers and employees and time-based restricted stock to non-employee directors, executives, and other officers and employees. In addition, The First maintained a long-term equity compensation plan, and the restricted stock awarded as of the date of the Company’s acquisition of The First was converted into adjusted restricted stock of the Company, subject to the same terms and conditions as prior to the merger.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restricted stock as of and for the three months ended March 31,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0205" w:type="dxa"/>
        <w:jc w:val="center"/>
        <w:tblInd w:w="0" w:type="dxa"/>
        <w:tblLayout w:type="fixed"/>
        <w:tblCellMar>
          <w:top w:w="28" w:type="dxa"/>
          <w:left w:w="28" w:type="dxa"/>
          <w:bottom w:w="28" w:type="dxa"/>
          <w:right w:w="28" w:type="dxa"/>
        </w:tblCellMar>
      </w:tblPr>
      <w:tblGrid>
        <w:gridCol w:w="540"/>
        <w:gridCol w:w="474"/>
        <w:gridCol w:w="477"/>
        <w:gridCol w:w="109"/>
        <w:gridCol w:w="109"/>
        <w:gridCol w:w="109"/>
        <w:gridCol w:w="721"/>
        <w:gridCol w:w="721"/>
        <w:gridCol w:w="722"/>
        <w:gridCol w:w="109"/>
        <w:gridCol w:w="109"/>
        <w:gridCol w:w="109"/>
        <w:gridCol w:w="396"/>
        <w:gridCol w:w="1158"/>
        <w:gridCol w:w="206"/>
        <w:gridCol w:w="109"/>
        <w:gridCol w:w="109"/>
        <w:gridCol w:w="109"/>
        <w:gridCol w:w="666"/>
        <w:gridCol w:w="501"/>
        <w:gridCol w:w="502"/>
        <w:gridCol w:w="109"/>
        <w:gridCol w:w="109"/>
        <w:gridCol w:w="109"/>
        <w:gridCol w:w="386"/>
        <w:gridCol w:w="1133"/>
        <w:gridCol w:w="294"/>
      </w:tblGrid>
      <w:tr>
        <w:trPr/>
        <w:tc>
          <w:tcPr>
            <w:tcW w:w="54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Performance-Based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Time-Based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Grant-Date Fair Value</w:t>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195,347 </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1,208,193 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75,773 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288,972 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(340,179)</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271,120 </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1,139,609 </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both"/>
        <w:rPr>
          <w:rFonts w:ascii="Times New Roman;serif" w:hAnsi="Times New Roman;serif"/>
          <w:b w:val="false"/>
          <w:color w:val="000000"/>
          <w:sz w:val="20"/>
        </w:rPr>
      </w:pPr>
      <w:r>
        <w:rPr>
          <w:rFonts w:ascii="Times New Roman;serif" w:hAnsi="Times New Roman;serif"/>
          <w:b w:val="false"/>
          <w:color w:val="000000"/>
          <w:sz w:val="20"/>
        </w:rPr>
        <w:t>Unrecognized stock-based compensation expense related to restricted stock totaled $26,731 at March 31, 2026. As of such date, the weighted average period over which the unrecognized expense is expected to be recognized was approximately 2.25 years.</w:t>
      </w:r>
    </w:p>
    <w:p>
      <w:pPr>
        <w:pStyle w:val="TextBody"/>
        <w:bidi w:val="0"/>
        <w:spacing w:lineRule="auto" w:line="288" w:before="80" w:after="18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reissued 162,733 shares from treasury in connection with awards of restricted stock. The Company recorded total stock-based compensation expense of $5,474 and $3,780 for the three months ended March 31, 2026 and 2025, respectively.</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There were no stock options granted or outstanding, nor compensation expense associated with options recorded, during the three months ended March 31, 2026 or 2025.</w:t>
      </w:r>
    </w:p>
    <w:p>
      <w:pPr>
        <w:pStyle w:val="TextBody"/>
        <w:bidi w:val="0"/>
        <w:spacing w:before="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Derivative Instruments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The Company uses certain derivative instruments to meet the needs of customers as well as to manage the interest rate risk associated with certain transactions.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Non-hedge derivatives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enters into derivative instruments that are not designated as hedging instruments to help its commercial customers manage their exposure to interest rate fluctuations (which are included within the “interest rate contracts” line items in the tables below). To mitigate the interest rate risk associated with these customer contracts, the Company enters into an offsetting derivative contract position. The Company manages its credit risk, or potential risk of default by its commercial customers, through credit limit approval and monitoring procedures.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lock commitments with its customers to mitigate the interest rate risk associated with the commitments to fund fixed-rate and adjustable-rate residential mortgage loans. The Company also enters into forward commitments to sell residential mortgage loans to secondary market investors.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Company’s derivatives not designated as hedging instruments as of the dates presented:</w:t>
      </w:r>
    </w:p>
    <w:tbl>
      <w:tblPr>
        <w:tblW w:w="10205" w:type="dxa"/>
        <w:jc w:val="left"/>
        <w:tblInd w:w="0" w:type="dxa"/>
        <w:tblLayout w:type="fixed"/>
        <w:tblCellMar>
          <w:top w:w="28" w:type="dxa"/>
          <w:left w:w="28" w:type="dxa"/>
          <w:bottom w:w="28" w:type="dxa"/>
          <w:right w:w="28" w:type="dxa"/>
        </w:tblCellMar>
      </w:tblPr>
      <w:tblGrid>
        <w:gridCol w:w="955"/>
        <w:gridCol w:w="827"/>
        <w:gridCol w:w="828"/>
        <w:gridCol w:w="574"/>
        <w:gridCol w:w="430"/>
        <w:gridCol w:w="437"/>
        <w:gridCol w:w="109"/>
        <w:gridCol w:w="109"/>
        <w:gridCol w:w="109"/>
        <w:gridCol w:w="221"/>
        <w:gridCol w:w="1023"/>
        <w:gridCol w:w="113"/>
        <w:gridCol w:w="109"/>
        <w:gridCol w:w="109"/>
        <w:gridCol w:w="109"/>
        <w:gridCol w:w="211"/>
        <w:gridCol w:w="721"/>
        <w:gridCol w:w="109"/>
        <w:gridCol w:w="109"/>
        <w:gridCol w:w="109"/>
        <w:gridCol w:w="109"/>
        <w:gridCol w:w="221"/>
        <w:gridCol w:w="1023"/>
        <w:gridCol w:w="113"/>
        <w:gridCol w:w="109"/>
        <w:gridCol w:w="109"/>
        <w:gridCol w:w="109"/>
        <w:gridCol w:w="211"/>
        <w:gridCol w:w="721"/>
        <w:gridCol w:w="159"/>
      </w:tblGrid>
      <w:tr>
        <w:trPr/>
        <w:tc>
          <w:tcPr>
            <w:tcW w:w="95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rate contracts</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1,784,028 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rate lock commitments</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commitments</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2,179,928 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1,909,909 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rate contracts</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1,784,028 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lock commitments</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Forward commitments</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1,932,101 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1,985,932 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29,202 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Gains and losses included in the Consolidated Statements of Income related to the Company’s derivative financial instruments were as follows as of the dates presented:</w:t>
      </w:r>
    </w:p>
    <w:tbl>
      <w:tblPr>
        <w:tblW w:w="6105" w:type="dxa"/>
        <w:jc w:val="left"/>
        <w:tblInd w:w="0" w:type="dxa"/>
        <w:tblLayout w:type="fixed"/>
        <w:tblCellMar>
          <w:top w:w="28" w:type="dxa"/>
          <w:left w:w="28" w:type="dxa"/>
          <w:bottom w:w="28" w:type="dxa"/>
          <w:right w:w="28" w:type="dxa"/>
        </w:tblCellMar>
      </w:tblPr>
      <w:tblGrid>
        <w:gridCol w:w="1169"/>
        <w:gridCol w:w="1024"/>
        <w:gridCol w:w="1032"/>
        <w:gridCol w:w="230"/>
        <w:gridCol w:w="672"/>
        <w:gridCol w:w="119"/>
        <w:gridCol w:w="119"/>
        <w:gridCol w:w="119"/>
        <w:gridCol w:w="119"/>
        <w:gridCol w:w="230"/>
        <w:gridCol w:w="672"/>
        <w:gridCol w:w="119"/>
        <w:gridCol w:w="109"/>
        <w:gridCol w:w="109"/>
        <w:gridCol w:w="109"/>
        <w:gridCol w:w="154"/>
      </w:tblGrid>
      <w:tr>
        <w:trPr/>
        <w:tc>
          <w:tcPr>
            <w:tcW w:w="116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interest income on loans</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lock commitments: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mortgage banking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commitments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mortgage banking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i/>
          <w:color w:val="000000"/>
          <w:sz w:val="20"/>
        </w:rPr>
      </w:pPr>
      <w:r>
        <w:rPr>
          <w:rFonts w:ascii="Times New Roman;serif" w:hAnsi="Times New Roman;serif"/>
          <w:b w:val="false"/>
          <w:i/>
          <w:color w:val="000000"/>
          <w:sz w:val="20"/>
        </w:rPr>
        <w:t>Derivatives designated as cash flow hedges</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Cash flow hedge relationships mitigate exposure to the variability of future cash flows or other forecasted transactions. The Company uses both interest rate swap contracts and interest rate collars in an effort to manage future interest rate exposure on borrowings and loans, respectively. The swap hedging strategy converts the variable interest rate on the forecasted borrowings to a fixed interest rate. The collar hedging strategy limits the benefit to interest income when rates exceed the cap but protects interest income from interest rate fluctuations below the floor strike rate.</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Company’s derivatives designated as cash flow hedges as of the dates presented:</w:t>
      </w:r>
    </w:p>
    <w:tbl>
      <w:tblPr>
        <w:tblW w:w="9116" w:type="dxa"/>
        <w:jc w:val="left"/>
        <w:tblInd w:w="0" w:type="dxa"/>
        <w:tblLayout w:type="fixed"/>
        <w:tblCellMar>
          <w:top w:w="28" w:type="dxa"/>
          <w:left w:w="28" w:type="dxa"/>
          <w:bottom w:w="28" w:type="dxa"/>
          <w:right w:w="28" w:type="dxa"/>
        </w:tblCellMar>
      </w:tblPr>
      <w:tblGrid>
        <w:gridCol w:w="641"/>
        <w:gridCol w:w="564"/>
        <w:gridCol w:w="565"/>
        <w:gridCol w:w="443"/>
        <w:gridCol w:w="369"/>
        <w:gridCol w:w="371"/>
        <w:gridCol w:w="109"/>
        <w:gridCol w:w="109"/>
        <w:gridCol w:w="109"/>
        <w:gridCol w:w="251"/>
        <w:gridCol w:w="984"/>
        <w:gridCol w:w="129"/>
        <w:gridCol w:w="109"/>
        <w:gridCol w:w="109"/>
        <w:gridCol w:w="109"/>
        <w:gridCol w:w="211"/>
        <w:gridCol w:w="721"/>
        <w:gridCol w:w="109"/>
        <w:gridCol w:w="109"/>
        <w:gridCol w:w="109"/>
        <w:gridCol w:w="109"/>
        <w:gridCol w:w="251"/>
        <w:gridCol w:w="984"/>
        <w:gridCol w:w="129"/>
        <w:gridCol w:w="109"/>
        <w:gridCol w:w="109"/>
        <w:gridCol w:w="109"/>
        <w:gridCol w:w="211"/>
        <w:gridCol w:w="721"/>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rate swaps</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rate collars</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580,000 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The impact on other comprehensive income for the three months ended March 31, 2026 and 2025, is described in Note 12, “Other Comprehensive Income (Loss).” The impact on earnings is reflected in interest income on loans and interest expense on borrowings in the Consolidated Statements of Income.</w:t>
      </w:r>
    </w:p>
    <w:p>
      <w:pPr>
        <w:pStyle w:val="TextBody"/>
        <w:bidi w:val="0"/>
        <w:spacing w:lineRule="auto" w:line="288" w:before="140" w:after="180"/>
        <w:jc w:val="both"/>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 are, to the extent that the hedging relationship is effective, recorded as other comprehensive income and are subsequently recognized in earnings at the same time that the hedged item is recognized in earnings. The impact on other comprehensive income for the three months ended March 31, 2026 and 2025 is discussed in Note 12, “Other Comprehensive Income.”</w:t>
      </w:r>
    </w:p>
    <w:p>
      <w:pPr>
        <w:pStyle w:val="TextBody"/>
        <w:bidi w:val="0"/>
        <w:spacing w:lineRule="auto" w:line="288" w:before="240" w:after="180"/>
        <w:jc w:val="both"/>
        <w:rPr>
          <w:rFonts w:ascii="Times New Roman;serif" w:hAnsi="Times New Roman;serif"/>
          <w:b w:val="false"/>
          <w:i/>
          <w:color w:val="000000"/>
          <w:sz w:val="20"/>
        </w:rPr>
      </w:pPr>
      <w:r>
        <w:rPr>
          <w:rFonts w:ascii="Times New Roman;serif" w:hAnsi="Times New Roman;serif"/>
          <w:b w:val="false"/>
          <w:i/>
          <w:color w:val="000000"/>
          <w:sz w:val="20"/>
        </w:rPr>
        <w:t>Derivatives designated as fair value hedges</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enters into interest rate swap agreements to manage the fair value exposure on certain of the Company’s fixed-rate subordinated and fixed-rate available-for-sale securities. The agreements convert a fixed rate of interest to a variable rate of interest based on SOFR by using pay-variable, receive-fixed rate interest rate swaps. The Company expects the hedges to remain effective during the remaining terms of the swaps which run through September 2031.</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Company's derivatives designated as fair value hedges as of the dates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1046"/>
        <w:gridCol w:w="844"/>
        <w:gridCol w:w="847"/>
        <w:gridCol w:w="574"/>
        <w:gridCol w:w="430"/>
        <w:gridCol w:w="437"/>
        <w:gridCol w:w="109"/>
        <w:gridCol w:w="109"/>
        <w:gridCol w:w="109"/>
        <w:gridCol w:w="238"/>
        <w:gridCol w:w="934"/>
        <w:gridCol w:w="122"/>
        <w:gridCol w:w="109"/>
        <w:gridCol w:w="109"/>
        <w:gridCol w:w="109"/>
        <w:gridCol w:w="211"/>
        <w:gridCol w:w="721"/>
        <w:gridCol w:w="109"/>
        <w:gridCol w:w="109"/>
        <w:gridCol w:w="109"/>
        <w:gridCol w:w="109"/>
        <w:gridCol w:w="238"/>
        <w:gridCol w:w="934"/>
        <w:gridCol w:w="122"/>
        <w:gridCol w:w="109"/>
        <w:gridCol w:w="109"/>
        <w:gridCol w:w="109"/>
        <w:gridCol w:w="211"/>
        <w:gridCol w:w="721"/>
        <w:gridCol w:w="158"/>
      </w:tblGrid>
      <w:tr>
        <w:trPr/>
        <w:tc>
          <w:tcPr>
            <w:tcW w:w="10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rate swaps - securities</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rate swaps - subordinated notes</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securities</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Totals</w:t>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effects of the Company’s fair value hedge relationships on the Consolidated Statements of Income for the periods presented:</w:t>
      </w:r>
    </w:p>
    <w:tbl>
      <w:tblPr>
        <w:tblW w:w="9037" w:type="dxa"/>
        <w:jc w:val="left"/>
        <w:tblInd w:w="0" w:type="dxa"/>
        <w:tblLayout w:type="fixed"/>
        <w:tblCellMar>
          <w:top w:w="28" w:type="dxa"/>
          <w:left w:w="28" w:type="dxa"/>
          <w:bottom w:w="28" w:type="dxa"/>
          <w:right w:w="28" w:type="dxa"/>
        </w:tblCellMar>
      </w:tblPr>
      <w:tblGrid>
        <w:gridCol w:w="1234"/>
        <w:gridCol w:w="1083"/>
        <w:gridCol w:w="1087"/>
        <w:gridCol w:w="479"/>
        <w:gridCol w:w="479"/>
        <w:gridCol w:w="481"/>
        <w:gridCol w:w="109"/>
        <w:gridCol w:w="109"/>
        <w:gridCol w:w="109"/>
        <w:gridCol w:w="341"/>
        <w:gridCol w:w="706"/>
        <w:gridCol w:w="176"/>
        <w:gridCol w:w="176"/>
        <w:gridCol w:w="176"/>
        <w:gridCol w:w="176"/>
        <w:gridCol w:w="341"/>
        <w:gridCol w:w="1118"/>
        <w:gridCol w:w="176"/>
        <w:gridCol w:w="109"/>
        <w:gridCol w:w="109"/>
        <w:gridCol w:w="10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 Recognized in Income</w:t>
            </w:r>
          </w:p>
        </w:tc>
        <w:tc>
          <w:tcPr>
            <w:tcW w:w="481" w:type="dxa"/>
            <w:gridSpan w:val="4"/>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Statement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3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rate swaps - subordinated notes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securities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 - hedged items: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rate swaps - subordinated notes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 securities</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amounts that were recorded in the Consolidated Balance Sheets related to cumulative basis adjustments for fair value hedges as of the dates presented:</w:t>
      </w:r>
    </w:p>
    <w:tbl>
      <w:tblPr>
        <w:tblW w:w="10205" w:type="dxa"/>
        <w:jc w:val="left"/>
        <w:tblInd w:w="0" w:type="dxa"/>
        <w:tblLayout w:type="fixed"/>
        <w:tblCellMar>
          <w:top w:w="28" w:type="dxa"/>
          <w:left w:w="28" w:type="dxa"/>
          <w:bottom w:w="28" w:type="dxa"/>
          <w:right w:w="28" w:type="dxa"/>
        </w:tblCellMar>
      </w:tblPr>
      <w:tblGrid>
        <w:gridCol w:w="655"/>
        <w:gridCol w:w="479"/>
        <w:gridCol w:w="481"/>
        <w:gridCol w:w="109"/>
        <w:gridCol w:w="109"/>
        <w:gridCol w:w="109"/>
        <w:gridCol w:w="231"/>
        <w:gridCol w:w="792"/>
        <w:gridCol w:w="119"/>
        <w:gridCol w:w="117"/>
        <w:gridCol w:w="117"/>
        <w:gridCol w:w="117"/>
        <w:gridCol w:w="274"/>
        <w:gridCol w:w="879"/>
        <w:gridCol w:w="131"/>
        <w:gridCol w:w="109"/>
        <w:gridCol w:w="109"/>
        <w:gridCol w:w="109"/>
        <w:gridCol w:w="440"/>
        <w:gridCol w:w="1505"/>
        <w:gridCol w:w="227"/>
        <w:gridCol w:w="227"/>
        <w:gridCol w:w="227"/>
        <w:gridCol w:w="227"/>
        <w:gridCol w:w="469"/>
        <w:gridCol w:w="1505"/>
        <w:gridCol w:w="332"/>
      </w:tblGrid>
      <w:tr>
        <w:trPr/>
        <w:tc>
          <w:tcPr>
            <w:tcW w:w="6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 of the 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Amount of Fair Value Hedging Adjustments Included in the Carrying Amount of the Hedged Item</w:t>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86,981 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86,911 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12,253 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23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Credit Derivatives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both bought and sold credit protection in the form of risk participation agreements. These risk participations, which meet the definition of credit derivatives, were entered into in the ordinary course of business to help the Company’s commercial customers manage their exposure to interest rate fluctuations. Risk participations in which credit protection has been purchased entitle the Company to receive a payment from the counterparty if the customer fails to make payment on any amounts due to the Company upon early termination of the swap transaction. The Company’s bought risk participation agreements have a notional amount of $252,165 and maturities between 2028 and 2032. For contracts where the Company sold credit protection, it would be required to make payment to the counterparty if the customer fails to make payment on any amounts due to the counterparty upon early termination of the swap transaction. The Company’s sold risk participation agreements have a notional amount of $64,584 and have maturities between 2026 and 2032.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maximum potential amount of future payments under these risk participation agreements as of March 31, 2026 was approximately $937. This scenario occurs if variable interest rates were at zero percent and all counterparties defaulted with zero recovery. The fair value of risk participation agreements at March 31, 2026 and 2025 was immaterial.</w:t>
      </w:r>
    </w:p>
    <w:p>
      <w:pPr>
        <w:pStyle w:val="TextBody"/>
        <w:bidi w:val="0"/>
        <w:spacing w:lineRule="auto" w:line="288" w:before="260" w:after="180"/>
        <w:jc w:val="both"/>
        <w:rPr>
          <w:rFonts w:ascii="Times New Roman;serif" w:hAnsi="Times New Roman;serif"/>
          <w:b w:val="false"/>
          <w:i/>
          <w:color w:val="000000"/>
          <w:sz w:val="20"/>
        </w:rPr>
      </w:pPr>
      <w:r>
        <w:rPr>
          <w:rFonts w:ascii="Times New Roman;serif" w:hAnsi="Times New Roman;serif"/>
          <w:b w:val="false"/>
          <w:i/>
          <w:color w:val="000000"/>
          <w:sz w:val="20"/>
        </w:rPr>
        <w:t>Offsetting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financial instruments, including derivatives, may be eligible for offset in the consolidated balance sheet when the “right of setoff” exists or when the instruments are subject to an enforceable master netting agreement, which includes the right of the non-defaulting party or non-affected party to offset recognized amounts, including collateral posted with the counterparty,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determine a net receivable or net payable upon early termination of the agreement. Certain of the Company’s derivative instruments are subject to master netting agreements; however, the Company has not elected to offset such financial instruments in the Consolidated Balance Sheets. Initial margin and variation margin is accounted for as collateral. When the Company posts cash for margin, it is recognized as a receivable. When margin is posted or received in the form of securities, there is no accounting recognition for the pledge of securities, unless there is an event of default by one of the parties to the agreement. For centrally cleared derivatives, variation margin is accounted for as settlement of the derivative fair value. The following table presents the Company’s gross derivative positions as recognized in the Consolidated Balance Sheets as well as the net derivative positions, including collateral pledged to the extent the application of such collateral did not reduce the net derivative liability position below zero, had the Company elected to offset those instruments subject to an enforceable master netting agreement as of the dates presented: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569"/>
        <w:gridCol w:w="1344"/>
        <w:gridCol w:w="1348"/>
        <w:gridCol w:w="211"/>
        <w:gridCol w:w="721"/>
        <w:gridCol w:w="109"/>
        <w:gridCol w:w="109"/>
        <w:gridCol w:w="109"/>
        <w:gridCol w:w="109"/>
        <w:gridCol w:w="287"/>
        <w:gridCol w:w="982"/>
        <w:gridCol w:w="148"/>
        <w:gridCol w:w="109"/>
        <w:gridCol w:w="109"/>
        <w:gridCol w:w="109"/>
        <w:gridCol w:w="211"/>
        <w:gridCol w:w="721"/>
        <w:gridCol w:w="109"/>
        <w:gridCol w:w="109"/>
        <w:gridCol w:w="109"/>
        <w:gridCol w:w="109"/>
        <w:gridCol w:w="283"/>
        <w:gridCol w:w="970"/>
        <w:gridCol w:w="211"/>
      </w:tblGrid>
      <w:tr>
        <w:trPr/>
        <w:tc>
          <w:tcPr>
            <w:tcW w:w="156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Offsetting 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Offsetting Derivative Liabilities</w:t>
            </w:r>
          </w:p>
        </w:tc>
      </w:tr>
      <w:tr>
        <w:trPr/>
        <w:tc>
          <w:tcPr>
            <w:tcW w:w="4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 in the Consolidated Balance Sheets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the Consolidated Balance Sheets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not offset in the Consolidated Balance Sheets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instruments - derivative assets available for offset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collateral (cash) pledged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10 – Income Taxes</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effective tax rate was 20.1% for both the three months ended March 31, 2026 and 2025. The Company calculated the provision for income taxes by applying the estimated annual effective tax rate to year-to-date pre-tax income, and adjusting for discrete items that occurred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Fair Value Measurements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Fair Value Measurements and the Fair Level Hierarchy</w:t>
      </w:r>
    </w:p>
    <w:p>
      <w:pPr>
        <w:pStyle w:val="TextBody"/>
        <w:bidi w:val="0"/>
        <w:spacing w:lineRule="auto" w:line="288" w:before="100" w:after="283"/>
        <w:jc w:val="both"/>
        <w:rPr/>
      </w:pPr>
      <w:r>
        <w:rPr>
          <w:rFonts w:ascii="Times New Roman;serif" w:hAnsi="Times New Roman;serif"/>
          <w:b w:val="false"/>
          <w:color w:val="000000"/>
          <w:sz w:val="20"/>
        </w:rPr>
        <w:t xml:space="preserve">Accounting Standards Codification (“ASC”) 820, </w:t>
      </w:r>
      <w:r>
        <w:rPr>
          <w:color w:val="000000"/>
        </w:rPr>
        <w:t>“</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provides guidance for using fair value to measure assets and liabilities and establishes a fair value hierarchy that prioritizes the inputs to valuation techniques used to measure fair value into three broad levels. The fair value hierarchy gives the highest priority to a valuation based on quoted prices in active markets for identical assets and liabilities (Level 1), next priority to a valuation based on quoted prices in active markets for similar assets and liabilities and/or based on assumptions that are observable in the market (Level 2), and the lowest priority to a valuation based on assumptions that are not observable in the market (Level 3).</w:t>
      </w:r>
    </w:p>
    <w:p>
      <w:pPr>
        <w:pStyle w:val="TextBody"/>
        <w:bidi w:val="0"/>
        <w:spacing w:lineRule="auto" w:line="288" w:before="280" w:after="283"/>
        <w:jc w:val="left"/>
        <w:rPr>
          <w:rFonts w:ascii="Times New Roman;serif" w:hAnsi="Times New Roman;serif"/>
          <w:b w:val="false"/>
          <w:i/>
          <w:color w:val="000000"/>
          <w:sz w:val="20"/>
        </w:rPr>
      </w:pPr>
      <w:r>
        <w:rPr>
          <w:rFonts w:ascii="Times New Roman;serif" w:hAnsi="Times New Roman;serif"/>
          <w:b w:val="false"/>
          <w:i/>
          <w:color w:val="000000"/>
          <w:sz w:val="20"/>
        </w:rPr>
        <w:t>Recurring Fair Value Measurements</w:t>
      </w:r>
    </w:p>
    <w:p>
      <w:pPr>
        <w:pStyle w:val="TextBody"/>
        <w:bidi w:val="0"/>
        <w:spacing w:lineRule="auto" w:line="288" w:before="100" w:after="283"/>
        <w:jc w:val="both"/>
        <w:rPr/>
      </w:pPr>
      <w:r>
        <w:rPr>
          <w:rFonts w:ascii="Times New Roman;serif" w:hAnsi="Times New Roman;serif"/>
          <w:b w:val="false"/>
          <w:color w:val="000000"/>
          <w:sz w:val="20"/>
        </w:rPr>
        <w:t xml:space="preserve">The Company carries certain assets and liabilities at fair value on a recurring basis in accordance with applicable standards. The Company’s recurring fair value measurements are based on the requirement to carry such assets and liabilities at fair value or the Company’s election to carry certain eligible assets at fair value. Assets and liabilities that are required to be carried at fair value on a recurring basis include securities available for sale and derivative instruments. The Company has elected to carry mortgage loans held for sale at fair value on a recurring basis as permitted under the guidance in ASC 825, </w:t>
      </w:r>
      <w:r>
        <w:rPr>
          <w:color w:val="000000"/>
        </w:rPr>
        <w:t>“</w:t>
      </w:r>
      <w:r>
        <w:rPr>
          <w:rFonts w:ascii="Times New Roman;serif" w:hAnsi="Times New Roman;serif"/>
          <w:b w:val="false"/>
          <w:i/>
          <w:color w:val="000000"/>
          <w:sz w:val="20"/>
        </w:rPr>
        <w:t>Financial Instruments”</w:t>
      </w:r>
      <w:r>
        <w:rPr>
          <w:color w:val="000000"/>
        </w:rPr>
        <w:t xml:space="preserve"> </w:t>
      </w:r>
      <w:r>
        <w:rPr>
          <w:rFonts w:ascii="Times New Roman;serif" w:hAnsi="Times New Roman;serif"/>
          <w:b w:val="false"/>
          <w:color w:val="000000"/>
          <w:sz w:val="20"/>
        </w:rPr>
        <w:t>(“ASC 825”).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are used by the Company to estimate the fair values of the Company’s financial assets and liabilities that are measured on a recurring basis:</w:t>
      </w:r>
    </w:p>
    <w:p>
      <w:pPr>
        <w:pStyle w:val="TextBody"/>
        <w:bidi w:val="0"/>
        <w:spacing w:lineRule="auto" w:line="288" w:before="180" w:after="283"/>
        <w:jc w:val="both"/>
        <w:rPr/>
      </w:pPr>
      <w:r>
        <w:rPr>
          <w:rFonts w:ascii="Times New Roman;serif" w:hAnsi="Times New Roman;serif"/>
          <w:b w:val="false"/>
          <w:color w:val="000000"/>
          <w:sz w:val="20"/>
          <w:u w:val="single"/>
        </w:rPr>
        <w:t>Securities available for sale</w:t>
      </w:r>
      <w:r>
        <w:rPr>
          <w:rFonts w:ascii="Times New Roman;serif" w:hAnsi="Times New Roman;serif"/>
          <w:b w:val="false"/>
          <w:color w:val="000000"/>
          <w:sz w:val="20"/>
        </w:rPr>
        <w:t xml:space="preserve">: Securities available for sale consist primarily of debt securities, such as obligations of U.S. Government agencies and corporations, obligations of states and political subdivisions and mortgage-backed securities. Where quoted market prices in active markets are available, securities are classified within Level 1 of the fair value hierarchy.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quoted prices from active markets are not available, fair values are based on quoted market prices for similar instruments traded in active markets, quoted market prices for identical or similar instruments traded in markets that are not active, or model-based valuation techniques where all significant assumptions are observable in the market. Such instruments are classified within Level 2 of the fair value hierarchy. All Level 2 securities, including state and political subdivisions, mortgage-backed securities and other debt securities are valued using model-based valuation techniques where all significant assumptions are observable. When assumptions used in model-based valuation techniques are not observable in the market, the assumptions used by management reflect estimates of assumptions used by other market participants in determining fair value. When there is limited transparency around the inputs to the valuation, the instruments are classified within Level 3 of the fair value hierarchy.</w:t>
      </w:r>
    </w:p>
    <w:p>
      <w:pPr>
        <w:pStyle w:val="TextBody"/>
        <w:bidi w:val="0"/>
        <w:spacing w:lineRule="auto" w:line="288" w:before="180" w:after="283"/>
        <w:jc w:val="both"/>
        <w:rPr/>
      </w:pPr>
      <w:r>
        <w:rPr>
          <w:rFonts w:ascii="Times New Roman;serif" w:hAnsi="Times New Roman;serif"/>
          <w:b w:val="false"/>
          <w:color w:val="000000"/>
          <w:sz w:val="20"/>
          <w:u w:val="single"/>
        </w:rPr>
        <w:t>Derivative instruments</w:t>
      </w:r>
      <w:r>
        <w:rPr>
          <w:rFonts w:ascii="Times New Roman;serif" w:hAnsi="Times New Roman;serif"/>
          <w:b w:val="false"/>
          <w:color w:val="000000"/>
          <w:sz w:val="20"/>
        </w:rPr>
        <w:t>: Most of the Company’s derivative contracts are extensively traded in over-the-counter markets and are valued using discounted cash flow models which incorporate observable market-based inputs including current market interest rates, credit spreads, and other factors. Such instruments are categorized within Level 2 of the fair value hierarchy and include interest rate swaps, interest rate collars and other interest rate contracts such as risk participations, interest rate caps and/or floors. The Company’s interest rate lock commitments are valued using current market prices for mortgage-backed securities with similar characteristics, adjusted for certain factors including servicing and risk. The value of the Company’s forward commitments is based on current prices for securities backed by similar types of loans. Because these assumptions are observable in active markets, the Company’s interest rate lock commitments and forward commitments are categorized within Level 2 of the fair value hierarchy.</w:t>
      </w:r>
    </w:p>
    <w:p>
      <w:pPr>
        <w:pStyle w:val="TextBody"/>
        <w:bidi w:val="0"/>
        <w:spacing w:lineRule="auto" w:line="288" w:before="180" w:after="283"/>
        <w:jc w:val="both"/>
        <w:rPr/>
      </w:pPr>
      <w:r>
        <w:rPr>
          <w:rFonts w:ascii="Times New Roman;serif" w:hAnsi="Times New Roman;serif"/>
          <w:b w:val="false"/>
          <w:color w:val="000000"/>
          <w:sz w:val="20"/>
          <w:u w:val="single"/>
        </w:rPr>
        <w:t>Mortgage loans held for sale in loans held for sale</w:t>
      </w:r>
      <w:r>
        <w:rPr>
          <w:rFonts w:ascii="Times New Roman;serif" w:hAnsi="Times New Roman;serif"/>
          <w:b w:val="false"/>
          <w:color w:val="000000"/>
          <w:sz w:val="20"/>
        </w:rPr>
        <w:t>: The Company has elected to carry mortgage loans held for sale at fair value on a recurring basis under the fair value option. Mortgage loans held for sale are loans intended to be sold on the secondary market to investors or other financial institutions. The fair value of these instruments is derived from current market pricing for similar loans, adjusted for differences in loan characteristics, including servicing and risk. Because the valuation is based on external pricing of similar instruments, mortgage loans held for sale are classified within Level 2 of the fair value hierarchy.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assets and liabilities that are measured at fair value on a recurring basis as of the dates presented:</w:t>
      </w:r>
    </w:p>
    <w:p>
      <w:pPr>
        <w:pStyle w:val="TextBody"/>
        <w:bidi w:val="0"/>
        <w:spacing w:lineRule="auto" w:line="288" w:before="0" w:after="0"/>
        <w:jc w:val="left"/>
        <w:rPr>
          <w:color w:val="000000"/>
        </w:rPr>
      </w:pPr>
      <w:r>
        <w:rPr>
          <w:color w:val="000000"/>
        </w:rPr>
        <w:t> </w:t>
      </w:r>
    </w:p>
    <w:tbl>
      <w:tblPr>
        <w:tblW w:w="9225" w:type="dxa"/>
        <w:jc w:val="left"/>
        <w:tblInd w:w="0" w:type="dxa"/>
        <w:tblLayout w:type="fixed"/>
        <w:tblCellMar>
          <w:top w:w="28" w:type="dxa"/>
          <w:left w:w="28" w:type="dxa"/>
          <w:bottom w:w="28" w:type="dxa"/>
          <w:right w:w="28" w:type="dxa"/>
        </w:tblCellMar>
      </w:tblPr>
      <w:tblGrid>
        <w:gridCol w:w="1503"/>
        <w:gridCol w:w="1323"/>
        <w:gridCol w:w="1329"/>
        <w:gridCol w:w="211"/>
        <w:gridCol w:w="406"/>
        <w:gridCol w:w="109"/>
        <w:gridCol w:w="109"/>
        <w:gridCol w:w="109"/>
        <w:gridCol w:w="109"/>
        <w:gridCol w:w="211"/>
        <w:gridCol w:w="976"/>
        <w:gridCol w:w="109"/>
        <w:gridCol w:w="109"/>
        <w:gridCol w:w="109"/>
        <w:gridCol w:w="109"/>
        <w:gridCol w:w="211"/>
        <w:gridCol w:w="406"/>
        <w:gridCol w:w="109"/>
        <w:gridCol w:w="109"/>
        <w:gridCol w:w="109"/>
        <w:gridCol w:w="109"/>
        <w:gridCol w:w="211"/>
        <w:gridCol w:w="976"/>
        <w:gridCol w:w="154"/>
      </w:tblGrid>
      <w:tr>
        <w:trPr/>
        <w:tc>
          <w:tcPr>
            <w:tcW w:w="150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 for sale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 in loans held for sale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3,084,205 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225" w:type="dxa"/>
        <w:jc w:val="left"/>
        <w:tblInd w:w="0" w:type="dxa"/>
        <w:tblLayout w:type="fixed"/>
        <w:tblCellMar>
          <w:top w:w="28" w:type="dxa"/>
          <w:left w:w="28" w:type="dxa"/>
          <w:bottom w:w="28" w:type="dxa"/>
          <w:right w:w="28" w:type="dxa"/>
        </w:tblCellMar>
      </w:tblPr>
      <w:tblGrid>
        <w:gridCol w:w="1506"/>
        <w:gridCol w:w="1321"/>
        <w:gridCol w:w="1328"/>
        <w:gridCol w:w="211"/>
        <w:gridCol w:w="406"/>
        <w:gridCol w:w="109"/>
        <w:gridCol w:w="109"/>
        <w:gridCol w:w="109"/>
        <w:gridCol w:w="109"/>
        <w:gridCol w:w="211"/>
        <w:gridCol w:w="976"/>
        <w:gridCol w:w="109"/>
        <w:gridCol w:w="109"/>
        <w:gridCol w:w="109"/>
        <w:gridCol w:w="109"/>
        <w:gridCol w:w="211"/>
        <w:gridCol w:w="406"/>
        <w:gridCol w:w="109"/>
        <w:gridCol w:w="109"/>
        <w:gridCol w:w="109"/>
        <w:gridCol w:w="109"/>
        <w:gridCol w:w="211"/>
        <w:gridCol w:w="97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 for sale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 in loans held for sale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2,873,875 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reviews fair value hierarchy classifications on a quarterly basis. Changes in the Company’s ability to observe inputs to the valuation may cause reclassification of certain assets or liabilities within the fair value hierarchy. Transfers between levels of the hierarchy are deemed to have occurred at the end of period. There were no such transfers between levels of the fair value hierarchy during the three months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respectively, there were no gains or losses included in earnings that were attributable to the change in unrealized gains or losses related to assets or liabilities held at the end of each respective period that were measured on a recurring basis using significant unobservable inputs.</w:t>
      </w:r>
    </w:p>
    <w:tbl>
      <w:tblPr>
        <w:tblW w:w="158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Nonrecurring Fair Value Measurements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may be recorded at fair value on a nonrecurring basis. These nonrecurring fair value adjustments typically are a result of the application of the lower of cost or market accounting or a write-down occurring during the period. The following tables provide the fair value measurement for assets measured at fair value on a nonrecurring basis that were still held on the Consolidated Balance Sheets as of the dates presented and the level within the fair value hierarchy each is classified:</w:t>
      </w:r>
    </w:p>
    <w:p>
      <w:pPr>
        <w:pStyle w:val="TextBody"/>
        <w:bidi w:val="0"/>
        <w:spacing w:lineRule="auto" w:line="288" w:before="0" w:after="0"/>
        <w:jc w:val="left"/>
        <w:rPr>
          <w:color w:val="000000"/>
        </w:rPr>
      </w:pPr>
      <w:r>
        <w:rPr>
          <w:color w:val="000000"/>
        </w:rPr>
        <w:t> </w:t>
      </w:r>
    </w:p>
    <w:tbl>
      <w:tblPr>
        <w:tblW w:w="6869" w:type="dxa"/>
        <w:jc w:val="left"/>
        <w:tblInd w:w="0" w:type="dxa"/>
        <w:tblLayout w:type="fixed"/>
        <w:tblCellMar>
          <w:top w:w="28" w:type="dxa"/>
          <w:left w:w="28" w:type="dxa"/>
          <w:bottom w:w="28" w:type="dxa"/>
          <w:right w:w="28" w:type="dxa"/>
        </w:tblCellMar>
      </w:tblPr>
      <w:tblGrid>
        <w:gridCol w:w="834"/>
        <w:gridCol w:w="734"/>
        <w:gridCol w:w="741"/>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March 31, 2026</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dependent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6869" w:type="dxa"/>
        <w:jc w:val="left"/>
        <w:tblInd w:w="0" w:type="dxa"/>
        <w:tblLayout w:type="fixed"/>
        <w:tblCellMar>
          <w:top w:w="28" w:type="dxa"/>
          <w:left w:w="28" w:type="dxa"/>
          <w:bottom w:w="28" w:type="dxa"/>
          <w:right w:w="28" w:type="dxa"/>
        </w:tblCellMar>
      </w:tblPr>
      <w:tblGrid>
        <w:gridCol w:w="835"/>
        <w:gridCol w:w="736"/>
        <w:gridCol w:w="738"/>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December 31, 2025</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dependent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are used by the Company to estimate the fair values of the Company’s financial assets measured on a nonrecurring basis: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u w:val="single"/>
        </w:rPr>
        <w:t>Collateral dependent loans</w:t>
      </w:r>
      <w:r>
        <w:rPr>
          <w:rFonts w:ascii="Times New Roman;serif" w:hAnsi="Times New Roman;serif"/>
          <w:b w:val="false"/>
          <w:color w:val="000000"/>
          <w:sz w:val="20"/>
        </w:rPr>
        <w:t>: Loans that do not share similar risk characteristics such that they can be evaluated on a collective (pool) basis are individually evaluated for credit losses each quarter taking into account the fair value of the collateral less estimated selling costs. Collateral may be real estate and/or business assets such as equipment, inventory and accounts receivable. The fair value of real estate is determined based on appraisals by qualified licensed appraisers. The fair value of the business assets is generally based on amounts reported on the business’s financial statements. Appraised and reported values may be adjusted based on changes in market conditions from the time of valuation and management’s knowledge of the client and the client’s business. Since not all valuation inputs are observable, these nonrecurring fair value determinations are classified as Level 3.</w:t>
      </w:r>
    </w:p>
    <w:p>
      <w:pPr>
        <w:pStyle w:val="TextBody"/>
        <w:bidi w:val="0"/>
        <w:spacing w:lineRule="auto" w:line="288" w:before="180" w:after="283"/>
        <w:jc w:val="both"/>
        <w:rPr/>
      </w:pPr>
      <w:r>
        <w:rPr>
          <w:rFonts w:ascii="Times New Roman;serif" w:hAnsi="Times New Roman;serif"/>
          <w:b w:val="false"/>
          <w:color w:val="000000"/>
          <w:sz w:val="20"/>
          <w:u w:val="single"/>
        </w:rPr>
        <w:t>Other real estate owned</w:t>
      </w:r>
      <w:r>
        <w:rPr>
          <w:rFonts w:ascii="Times New Roman;serif" w:hAnsi="Times New Roman;serif"/>
          <w:b w:val="false"/>
          <w:color w:val="000000"/>
          <w:sz w:val="20"/>
        </w:rPr>
        <w:t>: OREO is comprised of commercial and residential real estate obtained in partial or total satisfaction of loan obligations. OREO acquired in settlement of indebtedness is recorded at the fair value of the real estate less estimated costs to sell. Subsequently, it may be necessary to record nonrecurring fair value adjustments for declines in fair value. Fair value, when recorded, is determined based on appraisals by qualified licensed appraisers and adjusted for management’s estimates of costs to sell. Accordingly, values for OREO are classified as Level 3.</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as of the dates presented, OREO measured at fair value on a nonrecurring basis that was still held on the Consolidated Balance Sheets at period-end:</w:t>
      </w:r>
    </w:p>
    <w:p>
      <w:pPr>
        <w:pStyle w:val="TextBody"/>
        <w:bidi w:val="0"/>
        <w:spacing w:lineRule="auto" w:line="288" w:before="0" w:after="0"/>
        <w:jc w:val="left"/>
        <w:rPr>
          <w:color w:val="000000"/>
        </w:rPr>
      </w:pPr>
      <w:r>
        <w:rPr>
          <w:color w:val="000000"/>
        </w:rPr>
        <w:t> </w:t>
      </w:r>
    </w:p>
    <w:tbl>
      <w:tblPr>
        <w:tblW w:w="6692" w:type="dxa"/>
        <w:jc w:val="left"/>
        <w:tblInd w:w="0" w:type="dxa"/>
        <w:tblLayout w:type="fixed"/>
        <w:tblCellMar>
          <w:top w:w="28" w:type="dxa"/>
          <w:left w:w="28" w:type="dxa"/>
          <w:bottom w:w="28" w:type="dxa"/>
          <w:right w:w="28" w:type="dxa"/>
        </w:tblCellMar>
      </w:tblPr>
      <w:tblGrid>
        <w:gridCol w:w="1407"/>
        <w:gridCol w:w="1236"/>
        <w:gridCol w:w="1242"/>
        <w:gridCol w:w="211"/>
        <w:gridCol w:w="616"/>
        <w:gridCol w:w="109"/>
        <w:gridCol w:w="109"/>
        <w:gridCol w:w="109"/>
        <w:gridCol w:w="109"/>
        <w:gridCol w:w="331"/>
        <w:gridCol w:w="970"/>
        <w:gridCol w:w="243"/>
      </w:tblGrid>
      <w:tr>
        <w:trPr/>
        <w:tc>
          <w:tcPr>
            <w:tcW w:w="1407"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amount prior to remeasurement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recognized in results of operations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2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jc w:val="both"/>
        <w:rPr/>
      </w:pPr>
      <w:r>
        <w:rPr>
          <w:rFonts w:ascii="Times New Roman;serif" w:hAnsi="Times New Roman;serif"/>
          <w:b w:val="false"/>
          <w:color w:val="000000"/>
          <w:sz w:val="20"/>
          <w:u w:val="single"/>
        </w:rPr>
        <w:t>Mortgage servicing rights</w:t>
      </w:r>
      <w:r>
        <w:rPr>
          <w:rFonts w:ascii="Times New Roman;serif" w:hAnsi="Times New Roman;serif"/>
          <w:b w:val="false"/>
          <w:color w:val="000000"/>
          <w:sz w:val="20"/>
        </w:rPr>
        <w:t>: Mortgage servicing rights are carried at the lower of amortized cost or fair value. Fair value is determined using an income approach with various assumptions including expected cash flows, market discount rates, prepayment speeds, servicing costs, and other factors. Because these factors are not all observable and include management’s assumptions, mortgage servicing rights are classified within Level 3 of the fair value hierarchy. Mortgage servicing rights were carried at amortized cost at March 31, 2026 and December 31, 2025. There were no valuation adjustments on MSRs during the three months ended March 31, 2026 or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as of March 31, 2026 about significant unobservable inputs (Level 3) used in the valuation of assets measured at fair value on a nonrecurring basis: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093"/>
        <w:gridCol w:w="929"/>
        <w:gridCol w:w="932"/>
        <w:gridCol w:w="211"/>
        <w:gridCol w:w="721"/>
        <w:gridCol w:w="109"/>
        <w:gridCol w:w="109"/>
        <w:gridCol w:w="109"/>
        <w:gridCol w:w="109"/>
        <w:gridCol w:w="936"/>
        <w:gridCol w:w="890"/>
        <w:gridCol w:w="893"/>
        <w:gridCol w:w="109"/>
        <w:gridCol w:w="109"/>
        <w:gridCol w:w="109"/>
        <w:gridCol w:w="634"/>
        <w:gridCol w:w="634"/>
        <w:gridCol w:w="638"/>
        <w:gridCol w:w="109"/>
        <w:gridCol w:w="109"/>
        <w:gridCol w:w="109"/>
        <w:gridCol w:w="176"/>
        <w:gridCol w:w="176"/>
        <w:gridCol w:w="252"/>
      </w:tblGrid>
      <w:tr>
        <w:trPr/>
        <w:tc>
          <w:tcPr>
            <w:tcW w:w="109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Financial instrument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Inputs</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dependent loans, net of allowance for credit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Appraised value of collateral less estimated costs to 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costs to 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Appraised value of property less estimated costs to sell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costs to sell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val="false"/>
                <w:color w:val="000000"/>
                <w:sz w:val="20"/>
              </w:rPr>
              <w:t>10%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Fair Value Option</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elected to measure all mortgage loans held for sale at fair value under the fair value option as permitted under ASC 825. Electing to measure these assets at fair value reduces certain timing differences and better matches the changes in fair value of the loans with changes in the fair value of derivative instruments used to economically hedge them.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net loss of $2,197 and net gain of $2,853 resulting from fair value changes of these mortgage loans were recorded in income during the three months ended March 31, 2026 and 2025, respectively. These amounts do not reflect changes in fair values of related derivative instruments used to economically hedge exposure to market-related risks associated with these mortgage loans. The change in fair value of both mortgage loans held for sale and the related derivative instruments are recorded in “Mortgage banking income” in the Consolidated Statements of Income.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valuation of mortgage loans held for sale incorporates an assumption for credit risk; however, given the short-term period that the Company holds these loans, valuation adjustments attributable to instrument-specific credit risk is nominal. Interest income on mortgage loans held for sale measured at fair value is accrued as it is earned based on contractual rates and is reflected in loan interest income on the Consolidated Statements of Income.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differences between the fair value and the principal balance for mortgage loans held for sale measured at fair value as of March 31, 2026 and December 31, 2025:</w:t>
      </w:r>
    </w:p>
    <w:p>
      <w:pPr>
        <w:pStyle w:val="TextBody"/>
        <w:bidi w:val="0"/>
        <w:spacing w:lineRule="auto" w:line="288" w:before="0" w:after="0"/>
        <w:jc w:val="left"/>
        <w:rPr>
          <w:color w:val="000000"/>
        </w:rPr>
      </w:pPr>
      <w:r>
        <w:rPr>
          <w:color w:val="000000"/>
        </w:rPr>
        <w:t> </w:t>
      </w:r>
    </w:p>
    <w:tbl>
      <w:tblPr>
        <w:tblW w:w="8172" w:type="dxa"/>
        <w:jc w:val="left"/>
        <w:tblInd w:w="0" w:type="dxa"/>
        <w:tblLayout w:type="fixed"/>
        <w:tblCellMar>
          <w:top w:w="28" w:type="dxa"/>
          <w:left w:w="28" w:type="dxa"/>
          <w:bottom w:w="28" w:type="dxa"/>
          <w:right w:w="28" w:type="dxa"/>
        </w:tblCellMar>
      </w:tblPr>
      <w:tblGrid>
        <w:gridCol w:w="1536"/>
        <w:gridCol w:w="1352"/>
        <w:gridCol w:w="1357"/>
        <w:gridCol w:w="211"/>
        <w:gridCol w:w="826"/>
        <w:gridCol w:w="109"/>
        <w:gridCol w:w="109"/>
        <w:gridCol w:w="109"/>
        <w:gridCol w:w="109"/>
        <w:gridCol w:w="211"/>
        <w:gridCol w:w="826"/>
        <w:gridCol w:w="109"/>
        <w:gridCol w:w="109"/>
        <w:gridCol w:w="109"/>
        <w:gridCol w:w="109"/>
        <w:gridCol w:w="211"/>
        <w:gridCol w:w="61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Unpaid</w:t>
              <w:br/>
              <w:t>Principal</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Difference</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 measured at fair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 measured at 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Fair Value of Financial Instruments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of the Company’s financial instruments, including those assets and liabilities that are not measured and reported at fair value on a recurring basis or nonrecurring basis, were as follows as of the dates presented:</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bl>
      <w:tblPr>
        <w:tblW w:w="10205" w:type="dxa"/>
        <w:jc w:val="left"/>
        <w:tblInd w:w="0" w:type="dxa"/>
        <w:tblLayout w:type="fixed"/>
        <w:tblCellMar>
          <w:top w:w="28" w:type="dxa"/>
          <w:left w:w="28" w:type="dxa"/>
          <w:bottom w:w="28" w:type="dxa"/>
          <w:right w:w="28" w:type="dxa"/>
        </w:tblCellMar>
      </w:tblPr>
      <w:tblGrid>
        <w:gridCol w:w="893"/>
        <w:gridCol w:w="643"/>
        <w:gridCol w:w="625"/>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369"/>
        <w:gridCol w:w="712"/>
        <w:gridCol w:w="109"/>
        <w:gridCol w:w="109"/>
        <w:gridCol w:w="109"/>
        <w:gridCol w:w="109"/>
        <w:gridCol w:w="211"/>
        <w:gridCol w:w="1081"/>
        <w:gridCol w:w="156"/>
      </w:tblGrid>
      <w:tr>
        <w:trPr/>
        <w:tc>
          <w:tcPr>
            <w:tcW w:w="89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March 31, 2026</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 to maturity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 for sale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18,679,386 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22,091,013 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debentures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64"/>
        <w:gridCol w:w="647"/>
        <w:gridCol w:w="650"/>
        <w:gridCol w:w="211"/>
        <w:gridCol w:w="1081"/>
        <w:gridCol w:w="109"/>
        <w:gridCol w:w="109"/>
        <w:gridCol w:w="109"/>
        <w:gridCol w:w="109"/>
        <w:gridCol w:w="211"/>
        <w:gridCol w:w="976"/>
        <w:gridCol w:w="109"/>
        <w:gridCol w:w="109"/>
        <w:gridCol w:w="109"/>
        <w:gridCol w:w="109"/>
        <w:gridCol w:w="211"/>
        <w:gridCol w:w="1081"/>
        <w:gridCol w:w="109"/>
        <w:gridCol w:w="109"/>
        <w:gridCol w:w="109"/>
        <w:gridCol w:w="109"/>
        <w:gridCol w:w="369"/>
        <w:gridCol w:w="712"/>
        <w:gridCol w:w="109"/>
        <w:gridCol w:w="109"/>
        <w:gridCol w:w="109"/>
        <w:gridCol w:w="109"/>
        <w:gridCol w:w="211"/>
        <w:gridCol w:w="1081"/>
        <w:gridCol w:w="156"/>
      </w:tblGrid>
      <w:tr>
        <w:trPr/>
        <w:tc>
          <w:tcPr>
            <w:tcW w:w="86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 of December 31, 2025</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 to maturity</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 for sale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18,689,957 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servicing rights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debentures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notes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Other Comprehensive Income (Loss)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Changes in the components of other comprehensive (loss) income were as follows for the periods presented:</w:t>
      </w:r>
    </w:p>
    <w:p>
      <w:pPr>
        <w:pStyle w:val="TextBody"/>
        <w:bidi w:val="0"/>
        <w:spacing w:lineRule="auto" w:line="288" w:before="0" w:after="0"/>
        <w:jc w:val="left"/>
        <w:rPr>
          <w:color w:val="000000"/>
        </w:rPr>
      </w:pPr>
      <w:r>
        <w:rPr>
          <w:color w:val="000000"/>
        </w:rPr>
        <w:t> </w:t>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35"/>
        <w:gridCol w:w="307"/>
        <w:gridCol w:w="309"/>
        <w:gridCol w:w="336"/>
        <w:gridCol w:w="1343"/>
        <w:gridCol w:w="176"/>
        <w:gridCol w:w="109"/>
        <w:gridCol w:w="109"/>
        <w:gridCol w:w="109"/>
        <w:gridCol w:w="304"/>
        <w:gridCol w:w="1065"/>
        <w:gridCol w:w="159"/>
        <w:gridCol w:w="109"/>
        <w:gridCol w:w="109"/>
        <w:gridCol w:w="109"/>
        <w:gridCol w:w="257"/>
        <w:gridCol w:w="879"/>
        <w:gridCol w:w="133"/>
        <w:gridCol w:w="109"/>
        <w:gridCol w:w="109"/>
        <w:gridCol w:w="109"/>
        <w:gridCol w:w="327"/>
        <w:gridCol w:w="981"/>
        <w:gridCol w:w="170"/>
        <w:gridCol w:w="109"/>
        <w:gridCol w:w="109"/>
        <w:gridCol w:w="109"/>
        <w:gridCol w:w="211"/>
        <w:gridCol w:w="843"/>
        <w:gridCol w:w="162"/>
      </w:tblGrid>
      <w:tr>
        <w:trPr/>
        <w:tc>
          <w:tcPr>
            <w:tcW w:w="93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Holding Gains (Losses) on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of unrealized holding losses on securities transferred to held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 Gains (Losses)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Defined Benefit Pension and</w:t>
              <w:br/>
              <w:t>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(56,542)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(benefit)</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(6,298)</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(99,624)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income (loss)</w:t>
            </w:r>
          </w:p>
        </w:tc>
        <w:tc>
          <w:tcPr>
            <w:tcW w:w="1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(83,919)</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(46,780)</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16,107 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(121,621)</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1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bl>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reclassifications from accumulated other comprehensive income, net of tax, for the periods presented:</w:t>
      </w:r>
    </w:p>
    <w:tbl>
      <w:tblPr>
        <w:tblW w:w="10205" w:type="dxa"/>
        <w:jc w:val="left"/>
        <w:tblInd w:w="0" w:type="dxa"/>
        <w:tblLayout w:type="fixed"/>
        <w:tblCellMar>
          <w:top w:w="28" w:type="dxa"/>
          <w:left w:w="28" w:type="dxa"/>
          <w:bottom w:w="28" w:type="dxa"/>
          <w:right w:w="28" w:type="dxa"/>
        </w:tblCellMar>
      </w:tblPr>
      <w:tblGrid>
        <w:gridCol w:w="1291"/>
        <w:gridCol w:w="1108"/>
        <w:gridCol w:w="1110"/>
        <w:gridCol w:w="109"/>
        <w:gridCol w:w="109"/>
        <w:gridCol w:w="109"/>
        <w:gridCol w:w="407"/>
        <w:gridCol w:w="900"/>
        <w:gridCol w:w="210"/>
        <w:gridCol w:w="210"/>
        <w:gridCol w:w="210"/>
        <w:gridCol w:w="210"/>
        <w:gridCol w:w="407"/>
        <w:gridCol w:w="900"/>
        <w:gridCol w:w="210"/>
        <w:gridCol w:w="109"/>
        <w:gridCol w:w="109"/>
        <w:gridCol w:w="109"/>
        <w:gridCol w:w="693"/>
        <w:gridCol w:w="693"/>
        <w:gridCol w:w="992"/>
      </w:tblGrid>
      <w:tr>
        <w:trPr/>
        <w:tc>
          <w:tcPr>
            <w:tcW w:w="129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Reclassified from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Income 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Income Statement Line Item Affected</w:t>
            </w:r>
          </w:p>
        </w:tc>
      </w:tr>
      <w:tr>
        <w:trPr/>
        <w:tc>
          <w:tcPr>
            <w:tcW w:w="3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income</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Income taxes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reclassifications for the period,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 Net Income Per Common Share</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Basic net income per common share is calculated by dividing net income by the weighted-average number of common shares outstanding for the period. Diluted net income per common share reflects the pro forma dilution of shares outstanding, assuming outstanding service-based restricted stock awards fully vested, calculated in accordance with the treasury method. Basic and diluted net income per common share calculations are as follows for the periods presented:</w:t>
      </w:r>
    </w:p>
    <w:p>
      <w:pPr>
        <w:pStyle w:val="TextBody"/>
        <w:bidi w:val="0"/>
        <w:spacing w:lineRule="auto" w:line="288" w:before="0" w:after="0"/>
        <w:jc w:val="left"/>
        <w:rPr>
          <w:color w:val="000000"/>
        </w:rPr>
      </w:pPr>
      <w:r>
        <w:rPr>
          <w:color w:val="000000"/>
        </w:rPr>
        <w:t> </w:t>
      </w:r>
    </w:p>
    <w:tbl>
      <w:tblPr>
        <w:tblW w:w="6591" w:type="dxa"/>
        <w:jc w:val="left"/>
        <w:tblInd w:w="0" w:type="dxa"/>
        <w:tblLayout w:type="fixed"/>
        <w:tblCellMar>
          <w:top w:w="28" w:type="dxa"/>
          <w:left w:w="28" w:type="dxa"/>
          <w:bottom w:w="28" w:type="dxa"/>
          <w:right w:w="28" w:type="dxa"/>
        </w:tblCellMar>
      </w:tblPr>
      <w:tblGrid>
        <w:gridCol w:w="1389"/>
        <w:gridCol w:w="1215"/>
        <w:gridCol w:w="1235"/>
        <w:gridCol w:w="244"/>
        <w:gridCol w:w="837"/>
        <w:gridCol w:w="109"/>
        <w:gridCol w:w="109"/>
        <w:gridCol w:w="109"/>
        <w:gridCol w:w="109"/>
        <w:gridCol w:w="244"/>
        <w:gridCol w:w="837"/>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common stock</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93,693,615 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63,664,419 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 basic</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common stock</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93,693,615 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63,664,419 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stock-based compensation</w:t>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 outstanding - 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94,228,343 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64,026,025 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 - diluted</w:t>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awards that could potentially dilute basic net income per common share in the future that were not included in the computation of diluted net income per common share due to their anti-dilutive effect were as follows for the periods presented:</w:t>
      </w:r>
    </w:p>
    <w:tbl>
      <w:tblPr>
        <w:tblW w:w="3161" w:type="dxa"/>
        <w:jc w:val="left"/>
        <w:tblInd w:w="0" w:type="dxa"/>
        <w:tblLayout w:type="fixed"/>
        <w:tblCellMar>
          <w:top w:w="28" w:type="dxa"/>
          <w:left w:w="28" w:type="dxa"/>
          <w:bottom w:w="28" w:type="dxa"/>
          <w:right w:w="28" w:type="dxa"/>
        </w:tblCellMar>
      </w:tblPr>
      <w:tblGrid>
        <w:gridCol w:w="548"/>
        <w:gridCol w:w="482"/>
        <w:gridCol w:w="484"/>
        <w:gridCol w:w="175"/>
        <w:gridCol w:w="175"/>
        <w:gridCol w:w="175"/>
        <w:gridCol w:w="175"/>
        <w:gridCol w:w="175"/>
        <w:gridCol w:w="175"/>
        <w:gridCol w:w="175"/>
        <w:gridCol w:w="175"/>
        <w:gridCol w:w="247"/>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w:t>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 Segment Reporting</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 Community Banks and Wealth Management. The Company’s reportable segments are determined by the Chief Executive Officer, who is the designated chief operating decision maker (“CODM”), based upon information provided about the Company’s products and services. The CODM evaluates the financial performance of the segments by evaluating net income as the primary measure of segment performance, as well as revenue streams, significant expenses and budget to actual results, and the CODM provides guidance in strategy and the allocation of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order to give the CODM a more precise indication of the income and expenses controlled by each segment, the results of operations for each segment reflect its own direct revenues and expenses. Indirect revenues and expenses, including but not limited to income from the Company’s investment portfolio, as well as certain costs associated with data processing and back office functions, primarily support the operations of the community banks and, therefore, are included in the results of the Community Banks segment. Included in “Other” are the operations of the holding company and other eliminations that are necessary for purposes of reconciling to the consolidated amounts. Accounting policies for each segment are the same as those described in Note 1, “Significant Accounting Policies,” in the Notes to the Consolidated Financial Statements in Item 8, Financial Statements and Supplementary Data, in the Company’s Annual Report on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financial information for the Company’s operating segments as of and for the periods presented:</w:t>
      </w:r>
    </w:p>
    <w:tbl>
      <w:tblPr>
        <w:tblW w:w="10205" w:type="dxa"/>
        <w:jc w:val="left"/>
        <w:tblInd w:w="0" w:type="dxa"/>
        <w:tblLayout w:type="fixed"/>
        <w:tblCellMar>
          <w:top w:w="28" w:type="dxa"/>
          <w:left w:w="28" w:type="dxa"/>
          <w:bottom w:w="28" w:type="dxa"/>
          <w:right w:w="28" w:type="dxa"/>
        </w:tblCellMar>
      </w:tblPr>
      <w:tblGrid>
        <w:gridCol w:w="962"/>
        <w:gridCol w:w="822"/>
        <w:gridCol w:w="831"/>
        <w:gridCol w:w="196"/>
        <w:gridCol w:w="961"/>
        <w:gridCol w:w="109"/>
        <w:gridCol w:w="109"/>
        <w:gridCol w:w="109"/>
        <w:gridCol w:w="109"/>
        <w:gridCol w:w="109"/>
        <w:gridCol w:w="109"/>
        <w:gridCol w:w="109"/>
        <w:gridCol w:w="109"/>
        <w:gridCol w:w="239"/>
        <w:gridCol w:w="678"/>
        <w:gridCol w:w="134"/>
        <w:gridCol w:w="109"/>
        <w:gridCol w:w="109"/>
        <w:gridCol w:w="109"/>
        <w:gridCol w:w="196"/>
        <w:gridCol w:w="961"/>
        <w:gridCol w:w="109"/>
        <w:gridCol w:w="109"/>
        <w:gridCol w:w="109"/>
        <w:gridCol w:w="109"/>
        <w:gridCol w:w="196"/>
        <w:gridCol w:w="646"/>
        <w:gridCol w:w="109"/>
        <w:gridCol w:w="109"/>
        <w:gridCol w:w="109"/>
        <w:gridCol w:w="109"/>
        <w:gridCol w:w="196"/>
        <w:gridCol w:w="961"/>
        <w:gridCol w:w="155"/>
      </w:tblGrid>
      <w:tr>
        <w:trPr/>
        <w:tc>
          <w:tcPr>
            <w:tcW w:w="96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Community</w:t>
              <w:br/>
              <w:t>Banks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223,559 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occupancy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expenses</w:t>
            </w:r>
            <w:r>
              <w:rPr>
                <w:rFonts w:ascii="Times New Roman;serif" w:hAnsi="Times New Roman;serif"/>
                <w:b w:val="false"/>
                <w:color w:val="000000"/>
                <w:sz w:val="10"/>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110,423 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88,228 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27,082,801 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8,193 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27,090,994 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27,107,274 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1,406,667 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130" w:type="dxa"/>
        <w:jc w:val="left"/>
        <w:tblInd w:w="0" w:type="dxa"/>
        <w:tblLayout w:type="fixed"/>
        <w:tblCellMar>
          <w:top w:w="28" w:type="dxa"/>
          <w:left w:w="28" w:type="dxa"/>
          <w:bottom w:w="28" w:type="dxa"/>
          <w:right w:w="28" w:type="dxa"/>
        </w:tblCellMar>
      </w:tblPr>
      <w:tblGrid>
        <w:gridCol w:w="1005"/>
        <w:gridCol w:w="880"/>
        <w:gridCol w:w="889"/>
        <w:gridCol w:w="196"/>
        <w:gridCol w:w="961"/>
        <w:gridCol w:w="109"/>
        <w:gridCol w:w="109"/>
        <w:gridCol w:w="109"/>
        <w:gridCol w:w="109"/>
        <w:gridCol w:w="109"/>
        <w:gridCol w:w="109"/>
        <w:gridCol w:w="239"/>
        <w:gridCol w:w="678"/>
        <w:gridCol w:w="134"/>
        <w:gridCol w:w="109"/>
        <w:gridCol w:w="109"/>
        <w:gridCol w:w="109"/>
        <w:gridCol w:w="196"/>
        <w:gridCol w:w="961"/>
        <w:gridCol w:w="109"/>
        <w:gridCol w:w="109"/>
        <w:gridCol w:w="109"/>
        <w:gridCol w:w="109"/>
        <w:gridCol w:w="196"/>
        <w:gridCol w:w="631"/>
        <w:gridCol w:w="109"/>
        <w:gridCol w:w="109"/>
        <w:gridCol w:w="109"/>
        <w:gridCol w:w="109"/>
        <w:gridCol w:w="196"/>
        <w:gridCol w:w="961"/>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Community</w:t>
              <w:br/>
              <w:t>Banks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Wealth</w:t>
              <w:br/>
              <w:t>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income (loss)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employee benefits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occupancy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expenses</w:t>
            </w:r>
            <w:r>
              <w:rPr>
                <w:rFonts w:ascii="Times New Roman;serif" w:hAnsi="Times New Roman;serif"/>
                <w:b w:val="false"/>
                <w:color w:val="000000"/>
                <w:sz w:val="10"/>
              </w:rPr>
              <w:t>(2)</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18,266,553 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5,495 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18,272,048 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18,271,381 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8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erif" w:hAnsi="Times New Roman;serif"/>
          <w:b w:val="false"/>
          <w:color w:val="000000"/>
          <w:sz w:val="13"/>
        </w:rPr>
        <w:t>(1)    </w:t>
      </w:r>
      <w:r>
        <w:rPr>
          <w:rFonts w:ascii="Times New Roman;serif" w:hAnsi="Times New Roman;serif"/>
          <w:b w:val="false"/>
          <w:color w:val="000000"/>
          <w:sz w:val="20"/>
        </w:rPr>
        <w:t>Other segment expenses for Community Banks include data processing, other real estate owned, legal and professional fees, advertising and public relations, intangible amortization, communications and other miscellaneous expenses. Other segment expenses for Wealth Management include data processing, legal and professional fees, advertising and public relations, intangible amortization, communications and other miscellaneous expenses.</w:t>
      </w:r>
    </w:p>
    <w:p>
      <w:pPr>
        <w:pStyle w:val="TextBody"/>
        <w:bidi w:val="0"/>
        <w:spacing w:lineRule="auto" w:line="288" w:before="0" w:after="200"/>
        <w:ind w:left="0" w:right="0" w:hanging="360"/>
        <w:jc w:val="both"/>
        <w:rPr/>
      </w:pPr>
      <w:r>
        <w:rPr>
          <w:rFonts w:ascii="Times New Roman;serif" w:hAnsi="Times New Roman;serif"/>
          <w:b w:val="false"/>
          <w:color w:val="000000"/>
          <w:sz w:val="13"/>
        </w:rPr>
        <w:t>(2)    </w:t>
      </w:r>
      <w:r>
        <w:rPr>
          <w:rFonts w:ascii="Times New Roman;serif" w:hAnsi="Times New Roman;serif"/>
          <w:b w:val="false"/>
          <w:color w:val="000000"/>
          <w:sz w:val="20"/>
        </w:rPr>
        <w:t>Other segment expenses for Community Banks include data processing, other real estate owned, legal and professional fees, advertising and public relations, intangible amortization, communications, merger and conversion related expenses and other miscellaneous expenses. Other segment expenses for Wealth Management include data processing, legal and professional fees, advertising and public relations, intangible amortization, communications and other miscellaneous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Subsequent Events</w:t>
      </w:r>
    </w:p>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22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April 30, 2026, the Company, through a wholly-owned subsidiary, completed an acquisition of factoring receivables and related business processes. Pursuant to the guidance in ASC 805, this acquisition will be accounted for as a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Renasant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p>
      <w:pPr>
        <w:pStyle w:val="TextBody"/>
        <w:bidi w:val="0"/>
        <w:spacing w:lineRule="auto" w:line="288" w:before="220" w:after="180"/>
        <w:jc w:val="both"/>
        <w:rPr>
          <w:rFonts w:ascii="Times New Roman;serif" w:hAnsi="Times New Roman;serif"/>
          <w:b w:val="false"/>
          <w:color w:val="000000"/>
          <w:sz w:val="20"/>
        </w:rPr>
      </w:pPr>
      <w:r>
        <w:rPr>
          <w:rFonts w:ascii="Times New Roman;serif" w:hAnsi="Times New Roman;serif"/>
          <w:b w:val="false"/>
          <w:color w:val="000000"/>
          <w:sz w:val="20"/>
        </w:rPr>
        <w:t>combination. Total assets purchased consisted of $59,257 of factoring receivables and $17,777 of intangible assets. As of the filing of this report, the Company has not completed the fair value measurements of the assets and identifiable intangible assets acquired as part of the transaction.</w:t>
      </w:r>
    </w:p>
    <w:p>
      <w:pPr>
        <w:pStyle w:val="TextBody"/>
        <w:bidi w:val="0"/>
        <w:spacing w:lineRule="auto" w:line="288" w:before="220" w:after="180"/>
        <w:jc w:val="both"/>
        <w:rPr>
          <w:rFonts w:ascii="Times New Roman;serif" w:hAnsi="Times New Roman;serif"/>
          <w:b w:val="false"/>
          <w:color w:val="000000"/>
          <w:sz w:val="20"/>
        </w:rPr>
      </w:pPr>
      <w:r>
        <w:rPr>
          <w:rFonts w:ascii="Times New Roman;serif" w:hAnsi="Times New Roman;serif"/>
          <w:b w:val="false"/>
          <w:color w:val="000000"/>
          <w:sz w:val="20"/>
        </w:rPr>
        <w:t>On May 7, 2026, the Company completed a subordinated debt offering, issuing $300,000 aggregate principal amount of 6.25% Fixed-to-Floating Rate Subordinated Notes due 2036 (the “Notes”). The Notes will bear interest from and including May 7, 2026 to, but excluding, June 1, 2031, at a fixed rate of 6.25% per annum, payable semi-annually in arrears. From and including June 1, 2031 to but excluding June 1, 2036 (unless redeemed prior to such date), the Notes will bear interest at a floating rate equal to the Three-Month Term SOFR, plus 245 basis points, payable quarterly in arrears. The Company may redeem the Notes, in whole or in part, on or after June 1, 2031, at a price equal to 100% of the principal amount of the Notes being redeemed plus accrued and unpaid interest to, but excluding, the date of redemption.</w:t>
      </w:r>
    </w:p>
    <w:p>
      <w:pPr>
        <w:pStyle w:val="TextBody"/>
        <w:bidi w:val="0"/>
        <w:spacing w:lineRule="auto" w:line="288" w:before="220" w:after="180"/>
        <w:jc w:val="both"/>
        <w:rPr>
          <w:rFonts w:ascii="Times New Roman;serif" w:hAnsi="Times New Roman;serif"/>
          <w:b w:val="false"/>
          <w:color w:val="000000"/>
          <w:sz w:val="20"/>
        </w:rPr>
      </w:pPr>
      <w:r>
        <w:rPr>
          <w:rFonts w:ascii="Times New Roman;serif" w:hAnsi="Times New Roman;serif"/>
          <w:b w:val="false"/>
          <w:color w:val="000000"/>
          <w:sz w:val="20"/>
        </w:rPr>
        <w:t>The Notes are intended to qualify as Tier 2 capital for regulatory purposes. The Company intends to use the net proceeds from the Notes offering for general corporate purposes, including the potential redemption of the $40,000 aggregate principal amount outstanding of the Company's 5.50% Fixed-to-Floating Rate Subordinated Notes due September 1, 2031.</w:t>
      </w:r>
    </w:p>
    <w:p>
      <w:pPr>
        <w:pStyle w:val="TextBody"/>
        <w:bidi w:val="0"/>
        <w:spacing w:lineRule="auto" w:line="288" w:before="220" w:after="180"/>
        <w:jc w:val="both"/>
        <w:rPr>
          <w:rFonts w:ascii="Times New Roman;serif" w:hAnsi="Times New Roman;serif"/>
          <w:b w:val="false"/>
          <w:color w:val="000000"/>
          <w:sz w:val="20"/>
        </w:rPr>
      </w:pPr>
      <w:r>
        <w:rPr>
          <w:rFonts w:ascii="Times New Roman;serif" w:hAnsi="Times New Roman;serif"/>
          <w:b w:val="false"/>
          <w:color w:val="000000"/>
          <w:sz w:val="20"/>
        </w:rPr>
        <w:t>The issuance of the Notes occurred after the balance sheet date of March 31, 2026 and, accordingly, no amounts related to the Notes have been reflected in the accompanying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Form 10-Q may contain or incorporate by reference statements regarding Renasant Corporation (referred to herein as the “Company”, “Renasant”, “we”, “our”, or “us”)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or similar expressions, or future or conditional verbs such as “will,” “should,” “would” and “could,” are generally forward-looking in nature and not historical facts. Forward-looking statements include information about the Company’s future financial performance, business strategy, projected plans and objectives and are based on the current beliefs and expectations of management. The Company’s management believes these forward-looking statements are reasonable, but they are all inherently subject to significant business, economic and competitive risks and uncertainties, many of which are beyond the Company’s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such forward-looking statements are not guarantees of future performance and involve risks and uncertainties and, accordingly, investors should not place undue reliance on these forward-looking statements, which speak only as of the date they are made.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Important factors currently known to management that could cause our actual results to differ materially from those in forward-looking statements include the following: (i) our ability to efficiently integrate acquisitions into our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we have acquired or may acquire; (iii) the effect of economic conditions and interest rates on a national, regional or international basis; (iv) timing and success of the implementation of changes in operations to achieve enhanced earnings or effect cost savings; (v) our ability to remediate the material weakness in the Company’s internal control over financial reporting identified in our Annual Report on Form 10-K for the fiscal year ended December 31, 2025; (vi) competitive pressures in the consumer finance, commercial finance, financial services, asset management, retail banking, factoring,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our investment portfolio; (xiii) an insufficient allowance for credit losses as a result of inaccurate assumptions; (xiv) changes in the sources and costs of the capital we use to make loans and otherwise fund our operations, due to deposit outflows, changes in the mix of deposits and the cost and availability of borrowings; (xv) general economic, market or business conditions, including the impact of inflation; (xvi) changes in demand for loan and deposit products and other financial services; (xvii) concentrations of deposit or credit exposure; (xviii) changes or the lack of changes in interest rates, yield curves and interest rate spread relationships; (xix) losses resulting from fraudulent activity, including loan and deposit fraud and social engineering attacks targeting our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or near the Company’s geographic area; (xxii)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discussion provides details regarding the changes in significant balance sheet accounts at March 31, 2026 compared to December 31, 2025.</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Mergers and Acquisitions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1, 2025 the Company completed its merger with The First Bancshares, Inc. (“The First”). At closing, The First merged with and into the Company, with the Company the surviving corporation in the merger; immediately thereafter, The First Bank merged with and into Renasant Bank (sometimes referred to as the “Bank”), with Renasant Bank the surviving banking corporation in the merger. For more information, including the fair value of assets acquired and liabilities assumed, see Note 2, “Mergers and Acquisitions,” in the Notes to Consolidated Financial Statements of the Company in Item 1, Financial Statements, in this report.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Assets</w:t>
      </w:r>
    </w:p>
    <w:tbl>
      <w:tblPr>
        <w:tblW w:w="9099" w:type="dxa"/>
        <w:jc w:val="left"/>
        <w:tblInd w:w="0" w:type="dxa"/>
        <w:tblLayout w:type="fixed"/>
        <w:tblCellMar>
          <w:top w:w="28" w:type="dxa"/>
          <w:left w:w="28" w:type="dxa"/>
          <w:bottom w:w="28" w:type="dxa"/>
          <w:right w:w="28" w:type="dxa"/>
        </w:tblCellMar>
      </w:tblPr>
      <w:tblGrid>
        <w:gridCol w:w="1170"/>
        <w:gridCol w:w="1030"/>
        <w:gridCol w:w="1039"/>
        <w:gridCol w:w="196"/>
        <w:gridCol w:w="961"/>
        <w:gridCol w:w="109"/>
        <w:gridCol w:w="109"/>
        <w:gridCol w:w="109"/>
        <w:gridCol w:w="109"/>
        <w:gridCol w:w="232"/>
        <w:gridCol w:w="1139"/>
        <w:gridCol w:w="129"/>
        <w:gridCol w:w="109"/>
        <w:gridCol w:w="109"/>
        <w:gridCol w:w="109"/>
        <w:gridCol w:w="196"/>
        <w:gridCol w:w="736"/>
        <w:gridCol w:w="109"/>
        <w:gridCol w:w="109"/>
        <w:gridCol w:w="109"/>
        <w:gridCol w:w="109"/>
        <w:gridCol w:w="269"/>
        <w:gridCol w:w="271"/>
        <w:gridCol w:w="532"/>
      </w:tblGrid>
      <w:tr>
        <w:trPr/>
        <w:tc>
          <w:tcPr>
            <w:tcW w:w="117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1,070,718 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held to maturity, at amortized cost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1,030,073 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 for sale, at fair value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2,560,818 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 at fair value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19,047,039 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(293,955)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18,679,386 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18,753,084 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owned,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1,405,840 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Bank-owned life insurance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servicing rights,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480,178 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27,107,274 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26,751,426 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securities portfolio is used to provide a source for meeting liquidity needs and to supply securities to be used in collateralizing certain deposits and certain types of borrowings. The securities portfolio also serves as an outlet to deploy excess liquidity and generate interest income rather than hold excess funds as cash. The following table shows the carrying value of our securities portfolio by investment type and the percentage of such investment type relative to the entire securities portfolio as of the dates presented:</w:t>
      </w:r>
    </w:p>
    <w:tbl>
      <w:tblPr>
        <w:tblW w:w="9918" w:type="dxa"/>
        <w:jc w:val="left"/>
        <w:tblInd w:w="0" w:type="dxa"/>
        <w:tblLayout w:type="fixed"/>
        <w:tblCellMar>
          <w:top w:w="28" w:type="dxa"/>
          <w:left w:w="28" w:type="dxa"/>
          <w:bottom w:w="28" w:type="dxa"/>
          <w:right w:w="28" w:type="dxa"/>
        </w:tblCellMar>
      </w:tblPr>
      <w:tblGrid>
        <w:gridCol w:w="1457"/>
        <w:gridCol w:w="1279"/>
        <w:gridCol w:w="1284"/>
        <w:gridCol w:w="196"/>
        <w:gridCol w:w="871"/>
        <w:gridCol w:w="109"/>
        <w:gridCol w:w="109"/>
        <w:gridCol w:w="109"/>
        <w:gridCol w:w="109"/>
        <w:gridCol w:w="323"/>
        <w:gridCol w:w="323"/>
        <w:gridCol w:w="601"/>
        <w:gridCol w:w="109"/>
        <w:gridCol w:w="109"/>
        <w:gridCol w:w="109"/>
        <w:gridCol w:w="196"/>
        <w:gridCol w:w="871"/>
        <w:gridCol w:w="109"/>
        <w:gridCol w:w="109"/>
        <w:gridCol w:w="109"/>
        <w:gridCol w:w="109"/>
        <w:gridCol w:w="323"/>
        <w:gridCol w:w="323"/>
        <w:gridCol w:w="672"/>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Portfolio</w:t>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of states and political subdivisions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14.49 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Mortgage-backed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75.59 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73.60 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debt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3,816,190 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 held to maturity securities</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net of allowance for credit losses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3,816,158 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purchased $378,991 and $175,815 in investment securities during the three months ended March 31, 2026 and 2025, respectively. The merger with The First contributed approximately $1,457,377 to the securities portfolio at April 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Proceeds from maturities, calls and principal payments on securities during the first three months of 2026 totaled $141,463. Proceeds from the maturities, calls and principal payments on securities during the first three months of 2025 totaled $56,789. No gain or loss on sales of securities was recorded in the first quarter of 2026 or 2025. </w:t>
      </w:r>
    </w:p>
    <w:p>
      <w:pPr>
        <w:pStyle w:val="TextBody"/>
        <w:bidi w:val="0"/>
        <w:spacing w:lineRule="auto" w:line="288" w:before="200" w:after="18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2022, the Company transferred, at fair value, $882,927 of securities from the available for sale portfolio to the held to maturity portfolio as the Company has the intent and ability to hold these securities until their maturity. The related net unrealized losses of $99,675 (after tax losses of $74,307) remained in accumulated other comprehensive income (loss) and will be amortized over the remaining life of the securities, offsetting the related amortization of discount on the transferred securities. At March 31, 2026, the net unrealized after tax losses remaining to be amortized in accumulated other comprehensive income (loss) was $38,482. No gains or losses were recognized at the time of transfer.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more information about the Company’s security portfolio, see Note 3, “Securities,” in the Notes to Consolidated Financial Statements of the Company in Item 1, Financial Statements, in this report.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Loans Held for Sale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loans to be sold are sold either on a “best efforts” basis or under a mandatory delivery sales agreement. Under a “best efforts” sales agreement, residential real estate originations are locked in at a contractual rate with third party private investors or directly with government sponsored agencies, and the Company is obligated to sell the mortgages to such investors only if the mortgages are closed and funded. The risk we assume is conditioned upon loan underwriting and market conditions in the national mortgage market. Under a mandatory delivery sales agreement, the Company commits to deliver a certain principal amount of mortgage loans to an investor at a specified price and delivery date. Penalties are paid to the investor if we fail to satisfy the contract. Gains and losses are realized at the time consideration is received and all other criteria for sales treatment have been met. Our standard practice is to sell the loans within approximately 45 days after the loan is funded. Although loan fees and some interest income are derived from mortgage loans held for sale, the main source of income is gains from the sale of these loans in the secondary market.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balance of loans outstanding, net of unearned income and excluding loans held for sale, by loan type and the percentage of each loan type to total loans as of the dates presented:</w:t>
      </w:r>
    </w:p>
    <w:tbl>
      <w:tblPr>
        <w:tblW w:w="10205" w:type="dxa"/>
        <w:jc w:val="left"/>
        <w:tblInd w:w="0" w:type="dxa"/>
        <w:tblLayout w:type="fixed"/>
        <w:tblCellMar>
          <w:top w:w="28" w:type="dxa"/>
          <w:left w:w="28" w:type="dxa"/>
          <w:bottom w:w="28" w:type="dxa"/>
          <w:right w:w="28" w:type="dxa"/>
        </w:tblCellMar>
      </w:tblPr>
      <w:tblGrid>
        <w:gridCol w:w="1189"/>
        <w:gridCol w:w="1025"/>
        <w:gridCol w:w="1029"/>
        <w:gridCol w:w="196"/>
        <w:gridCol w:w="871"/>
        <w:gridCol w:w="109"/>
        <w:gridCol w:w="109"/>
        <w:gridCol w:w="109"/>
        <w:gridCol w:w="109"/>
        <w:gridCol w:w="455"/>
        <w:gridCol w:w="382"/>
        <w:gridCol w:w="904"/>
        <w:gridCol w:w="109"/>
        <w:gridCol w:w="109"/>
        <w:gridCol w:w="109"/>
        <w:gridCol w:w="196"/>
        <w:gridCol w:w="961"/>
        <w:gridCol w:w="109"/>
        <w:gridCol w:w="109"/>
        <w:gridCol w:w="109"/>
        <w:gridCol w:w="109"/>
        <w:gridCol w:w="422"/>
        <w:gridCol w:w="358"/>
        <w:gridCol w:w="1018"/>
      </w:tblGrid>
      <w:tr>
        <w:trPr/>
        <w:tc>
          <w:tcPr>
            <w:tcW w:w="118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r>
      <w:tr>
        <w:trPr/>
        <w:tc>
          <w:tcPr>
            <w:tcW w:w="32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Loans</w:t>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industrial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2,818,326 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14.79 </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and land development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7.76 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construction and land development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10.01 </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 1-4 family mortgage: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20.18 </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lien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equity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 1-4 family mortgage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4,584,118 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24.16 </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 owner occupied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17.70 </w:t>
            </w:r>
          </w:p>
        </w:tc>
        <w:tc>
          <w:tcPr>
            <w:tcW w:w="9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17.51 </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 - non-owner occupied</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 family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25.48 </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commercial real estate - non-owner occupied</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32.33 </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6,245,480 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32.79 </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net of unearned income</w:t>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18,975,248 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19,047,039 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Loan concentrations are considered to exist when there are loans to a number of borrowers engaged in similar activities that would cause them to be similarly impacted by economic or other conditions. At March 31, 2026, there were no concentrations of loans exceeding 10% of total loans other than loans disclosed in the table above. As the above table demonstrates, non-owner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605" cy="14605"/>
                <wp:effectExtent l="0" t="0" r="0" b="0"/>
                <wp:wrapNone/>
                <wp:docPr id="45" name="Frame4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occupied commercial mortgage term loans was our largest concentration of loans at March 31, 2026 and the following table provides additional detail, broken down by collateral type, about the segments within this loan category as of such date .</w:t>
      </w:r>
    </w:p>
    <w:tbl>
      <w:tblPr>
        <w:tblW w:w="10205" w:type="dxa"/>
        <w:jc w:val="left"/>
        <w:tblInd w:w="0" w:type="dxa"/>
        <w:tblLayout w:type="fixed"/>
        <w:tblCellMar>
          <w:top w:w="28" w:type="dxa"/>
          <w:left w:w="28" w:type="dxa"/>
          <w:bottom w:w="28" w:type="dxa"/>
          <w:right w:w="28" w:type="dxa"/>
        </w:tblCellMar>
      </w:tblPr>
      <w:tblGrid>
        <w:gridCol w:w="498"/>
        <w:gridCol w:w="435"/>
        <w:gridCol w:w="327"/>
        <w:gridCol w:w="109"/>
        <w:gridCol w:w="109"/>
        <w:gridCol w:w="109"/>
        <w:gridCol w:w="196"/>
        <w:gridCol w:w="871"/>
        <w:gridCol w:w="109"/>
        <w:gridCol w:w="109"/>
        <w:gridCol w:w="109"/>
        <w:gridCol w:w="109"/>
        <w:gridCol w:w="200"/>
        <w:gridCol w:w="567"/>
        <w:gridCol w:w="111"/>
        <w:gridCol w:w="109"/>
        <w:gridCol w:w="109"/>
        <w:gridCol w:w="109"/>
        <w:gridCol w:w="349"/>
        <w:gridCol w:w="217"/>
        <w:gridCol w:w="513"/>
        <w:gridCol w:w="109"/>
        <w:gridCol w:w="109"/>
        <w:gridCol w:w="109"/>
        <w:gridCol w:w="345"/>
        <w:gridCol w:w="345"/>
        <w:gridCol w:w="812"/>
        <w:gridCol w:w="109"/>
        <w:gridCol w:w="109"/>
        <w:gridCol w:w="109"/>
        <w:gridCol w:w="265"/>
        <w:gridCol w:w="220"/>
        <w:gridCol w:w="520"/>
        <w:gridCol w:w="109"/>
        <w:gridCol w:w="109"/>
        <w:gridCol w:w="109"/>
        <w:gridCol w:w="280"/>
        <w:gridCol w:w="280"/>
        <w:gridCol w:w="783"/>
      </w:tblGrid>
      <w:tr>
        <w:trPr/>
        <w:tc>
          <w:tcPr>
            <w:tcW w:w="49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Loan Size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Loan-to-Value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30-89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Non-performing</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Hotels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Self 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 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 Medical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Office - Non-Medical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421,442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Housing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Warehouse/Industrial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5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8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non-owner occupied commercial mortgage term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6,135,543 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32.33 </w:t>
            </w:r>
          </w:p>
        </w:tc>
        <w:tc>
          <w:tcPr>
            <w:tcW w:w="5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360"/>
        <w:jc w:val="both"/>
        <w:rPr>
          <w:rFonts w:ascii="Times New Roman;serif" w:hAnsi="Times New Roman;serif"/>
          <w:b w:val="false"/>
          <w:color w:val="000000"/>
          <w:sz w:val="18"/>
        </w:rPr>
      </w:pPr>
      <w:r>
        <w:rPr>
          <w:rFonts w:ascii="Times New Roman;serif" w:hAnsi="Times New Roman;serif"/>
          <w:b w:val="false"/>
          <w:color w:val="000000"/>
          <w:sz w:val="18"/>
        </w:rPr>
        <w:t>Note: Weighted-average loan-to-value is calculated using the most recent appraisal available.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Deposits</w:t>
      </w:r>
    </w:p>
    <w:tbl>
      <w:tblPr>
        <w:tblW w:w="7863" w:type="dxa"/>
        <w:jc w:val="left"/>
        <w:tblInd w:w="0" w:type="dxa"/>
        <w:tblLayout w:type="fixed"/>
        <w:tblCellMar>
          <w:top w:w="28" w:type="dxa"/>
          <w:left w:w="28" w:type="dxa"/>
          <w:bottom w:w="28" w:type="dxa"/>
          <w:right w:w="28" w:type="dxa"/>
        </w:tblCellMar>
      </w:tblPr>
      <w:tblGrid>
        <w:gridCol w:w="781"/>
        <w:gridCol w:w="685"/>
        <w:gridCol w:w="693"/>
        <w:gridCol w:w="196"/>
        <w:gridCol w:w="961"/>
        <w:gridCol w:w="109"/>
        <w:gridCol w:w="109"/>
        <w:gridCol w:w="109"/>
        <w:gridCol w:w="109"/>
        <w:gridCol w:w="232"/>
        <w:gridCol w:w="1139"/>
        <w:gridCol w:w="129"/>
        <w:gridCol w:w="109"/>
        <w:gridCol w:w="109"/>
        <w:gridCol w:w="109"/>
        <w:gridCol w:w="196"/>
        <w:gridCol w:w="736"/>
        <w:gridCol w:w="109"/>
        <w:gridCol w:w="109"/>
        <w:gridCol w:w="109"/>
        <w:gridCol w:w="109"/>
        <w:gridCol w:w="192"/>
        <w:gridCol w:w="192"/>
        <w:gridCol w:w="532"/>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Deposits</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5,043,960 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16,429,110 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22,099,484 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21,473,070 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relies on deposits as its primary source of funds. Management continues to focus on growing and maintaining a stable source of funding, specifically noninterest-bearing deposits and other core deposits (that is, deposits excluding brokered deposits). Noninterest-bearing deposits represented 23.45% of total deposits at March 31, 2026, as compared to 23.49% of total deposits at December 31, 2025. The slight decrease in noninterest-bearing deposits as a percentage of total deposits was primarily driven by the seasonal increase in interest-bearing public fund deposits, offset by growth in noninterest-bearing deposits. Under certain circumstances, management may elect to acquire non-core deposits (in the form of brokered deposits) or public fund deposits (which are deposits of counties, municipalities or other political subdivisions). The source of funds that we select depends on the terms of the deposits and how those terms assist us in mitigating interest rate risk, maintaining our liquidity position and managing our net interest margin; business factors, described in the following paragraph, may lead us to obtain public deposits. Accordingly, funds are acquired to meet anticipated funding needs at the rate and with other terms that, in management’s view, best address our interest rate risk, liquidity and net interest margin parameters.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Public fund deposits may be readily obtained based on the Company’s pricing bid in comparison with competitors. Because public fund deposits are obtained through a bid process, these deposit balances may fluctuate as competitive and market forces change. Although the Company has focused on growing stable sources of deposits to reduce reliance on public fund deposits, it participates in the bidding process for public fund deposits when pricing and other terms make it reasonable given market conditions or when management perceives that other factors, such as the public entity’s use of our treasury management or other products and services, make such participation advisable. Our public fund transaction accounts are principally obtained from public universities and municipalities, including school boards and utilities. Public fund deposits were $4,160,265 and $3,779,910 at March 31, 2026 and December 31, 2025, respectively.</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Borrowed Funds</w:t>
      </w:r>
    </w:p>
    <w:tbl>
      <w:tblPr>
        <w:tblW w:w="7684" w:type="dxa"/>
        <w:jc w:val="left"/>
        <w:tblInd w:w="0" w:type="dxa"/>
        <w:tblLayout w:type="fixed"/>
        <w:tblCellMar>
          <w:top w:w="28" w:type="dxa"/>
          <w:left w:w="28" w:type="dxa"/>
          <w:bottom w:w="28" w:type="dxa"/>
          <w:right w:w="28" w:type="dxa"/>
        </w:tblCellMar>
      </w:tblPr>
      <w:tblGrid>
        <w:gridCol w:w="636"/>
        <w:gridCol w:w="558"/>
        <w:gridCol w:w="561"/>
        <w:gridCol w:w="237"/>
        <w:gridCol w:w="891"/>
        <w:gridCol w:w="132"/>
        <w:gridCol w:w="109"/>
        <w:gridCol w:w="109"/>
        <w:gridCol w:w="109"/>
        <w:gridCol w:w="250"/>
        <w:gridCol w:w="1111"/>
        <w:gridCol w:w="139"/>
        <w:gridCol w:w="109"/>
        <w:gridCol w:w="109"/>
        <w:gridCol w:w="109"/>
        <w:gridCol w:w="196"/>
        <w:gridCol w:w="811"/>
        <w:gridCol w:w="109"/>
        <w:gridCol w:w="109"/>
        <w:gridCol w:w="109"/>
        <w:gridCol w:w="109"/>
        <w:gridCol w:w="269"/>
        <w:gridCol w:w="271"/>
        <w:gridCol w:w="532"/>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Borrowed Funds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305,863 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555,774 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borrowings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806,205 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1,055,530 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borrowings may include federal funds purchased, securities sold under agreements to repurchase, advances from the Federal Home Loan Bank of Dallas (the “FHLB”), borrowings from the Federal Reserve Discount Window, subordinated notes and junior subordinated debentures and are classified on the Consolidated Balance Sheets as either short-term borrowings or long-term debt. Short-term borrowings have original maturities less than one year and typically consist of federal funds purchased, securities sold under agreements to repurchase, and short-term FHLB advances. Due to strong deposit growth during the quarter, the Company was able to pay down a portion of the FHLB advances. The following table presents our short-term borrowings by type as of the dates presented:</w:t>
      </w:r>
    </w:p>
    <w:tbl>
      <w:tblPr>
        <w:tblW w:w="6041" w:type="dxa"/>
        <w:jc w:val="center"/>
        <w:tblInd w:w="0" w:type="dxa"/>
        <w:tblLayout w:type="fixed"/>
        <w:tblCellMar>
          <w:top w:w="28" w:type="dxa"/>
          <w:left w:w="28" w:type="dxa"/>
          <w:bottom w:w="28" w:type="dxa"/>
          <w:right w:w="28" w:type="dxa"/>
        </w:tblCellMar>
      </w:tblPr>
      <w:tblGrid>
        <w:gridCol w:w="1054"/>
        <w:gridCol w:w="927"/>
        <w:gridCol w:w="929"/>
        <w:gridCol w:w="237"/>
        <w:gridCol w:w="891"/>
        <w:gridCol w:w="132"/>
        <w:gridCol w:w="109"/>
        <w:gridCol w:w="109"/>
        <w:gridCol w:w="109"/>
        <w:gridCol w:w="277"/>
        <w:gridCol w:w="1047"/>
        <w:gridCol w:w="220"/>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Short-Term Borrowings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repurchase agreements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 from the FHLB</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borrowings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305,863 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555,774 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Long-term debt typically consists of long-term FHLB advances, our junior subordinated debentures and our subordinated notes. The following table presents our long-term debt by type as of the dates presented:</w:t>
      </w:r>
    </w:p>
    <w:tbl>
      <w:tblPr>
        <w:tblW w:w="5470" w:type="dxa"/>
        <w:jc w:val="left"/>
        <w:tblInd w:w="0" w:type="dxa"/>
        <w:tblLayout w:type="fixed"/>
        <w:tblCellMar>
          <w:top w:w="28" w:type="dxa"/>
          <w:left w:w="28" w:type="dxa"/>
          <w:bottom w:w="28" w:type="dxa"/>
          <w:right w:w="28" w:type="dxa"/>
        </w:tblCellMar>
      </w:tblPr>
      <w:tblGrid>
        <w:gridCol w:w="846"/>
        <w:gridCol w:w="744"/>
        <w:gridCol w:w="749"/>
        <w:gridCol w:w="237"/>
        <w:gridCol w:w="891"/>
        <w:gridCol w:w="132"/>
        <w:gridCol w:w="109"/>
        <w:gridCol w:w="109"/>
        <w:gridCol w:w="109"/>
        <w:gridCol w:w="277"/>
        <w:gridCol w:w="1047"/>
        <w:gridCol w:w="220"/>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Long-Term Debt</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subordinated debentures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140,908 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140,632 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notes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359,434 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359,124 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500,342 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499,756 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jc w:val="both"/>
        <w:rPr>
          <w:rFonts w:ascii="Times New Roman;serif" w:hAnsi="Times New Roman;serif"/>
          <w:b w:val="false"/>
          <w:color w:val="000000"/>
          <w:sz w:val="20"/>
        </w:rPr>
      </w:pPr>
      <w:r>
        <w:rPr>
          <w:rFonts w:ascii="Times New Roman;serif" w:hAnsi="Times New Roman;serif"/>
          <w:b w:val="false"/>
          <w:color w:val="000000"/>
          <w:sz w:val="20"/>
        </w:rPr>
        <w:t>Long-term funds obtained from the FHLB are used to match-fund fixed rate loans in order to minimize interest rate risk and to meet day-to-day liquidity needs, particularly when the cost of such borrowing compares favorably to the rates that we would be required to pay to attract deposits (which has not been the case in recent periods). Advances from the FHLB are collateralized by a blanket lien on the Bank’s loans. The Company had $5,480,190 of availability on unused lines of credit with the FHLB at March 31, 2026, as compared to $5,574,759 at December 31, 2025. The Company also had credit available at the Federal Reserve Discount Window in the amount of $706,245.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issued subordinated notes, and the Company owns the outstanding common securities of business trusts that issued corporation-obligated mandatorily redeemable preferred capital securities to third-party investors, the proceeds of which were used to buy floating rate junior subordinated debentures issued by the Company (or by companies that the Company subsequently acquired). The proceeds generated by the Company’s subordinated notes and trust preferred securities transactions have been used for general corporate purposes, including providing capital to support the Company’s growth organically or through strategic acquisitions, repaying indebtedness and financing investments and capital expenditures, and for investments in Renasant Bank as regulatory capital. The subordinated notes and trust preferred securities qualify as Tier 2 capital under current regulatory guidelines. On May 7, 2026, the Company completed an additional subordinated debt offering, issuing $300,000,000 aggregate principal amount of 6.25% Fixed-to-Floating Rate Subordinated Notes due 2036.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acquisition of The First on April 1, 2025, had a significant impact on our results of operations during the first quarter of 2026 as compared to the same period in 2025, and unless otherwise noted, is the primary driver of the period-over-period change indicated throughout this section.</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Net Income</w:t>
      </w:r>
    </w:p>
    <w:tbl>
      <w:tblPr>
        <w:tblW w:w="8797" w:type="dxa"/>
        <w:jc w:val="left"/>
        <w:tblInd w:w="0" w:type="dxa"/>
        <w:tblLayout w:type="fixed"/>
        <w:tblCellMar>
          <w:top w:w="28" w:type="dxa"/>
          <w:left w:w="28" w:type="dxa"/>
          <w:bottom w:w="28" w:type="dxa"/>
          <w:right w:w="28" w:type="dxa"/>
        </w:tblCellMar>
      </w:tblPr>
      <w:tblGrid>
        <w:gridCol w:w="1048"/>
        <w:gridCol w:w="922"/>
        <w:gridCol w:w="925"/>
        <w:gridCol w:w="207"/>
        <w:gridCol w:w="682"/>
        <w:gridCol w:w="115"/>
        <w:gridCol w:w="115"/>
        <w:gridCol w:w="115"/>
        <w:gridCol w:w="115"/>
        <w:gridCol w:w="207"/>
        <w:gridCol w:w="682"/>
        <w:gridCol w:w="115"/>
        <w:gridCol w:w="109"/>
        <w:gridCol w:w="109"/>
        <w:gridCol w:w="109"/>
        <w:gridCol w:w="196"/>
        <w:gridCol w:w="646"/>
        <w:gridCol w:w="109"/>
        <w:gridCol w:w="109"/>
        <w:gridCol w:w="109"/>
        <w:gridCol w:w="109"/>
        <w:gridCol w:w="278"/>
        <w:gridCol w:w="278"/>
        <w:gridCol w:w="471"/>
        <w:gridCol w:w="109"/>
        <w:gridCol w:w="109"/>
        <w:gridCol w:w="109"/>
        <w:gridCol w:w="109"/>
        <w:gridCol w:w="109"/>
        <w:gridCol w:w="109"/>
        <w:gridCol w:w="109"/>
        <w:gridCol w:w="154"/>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and Earnings per Share</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88,228 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incurs expenses and charges or recognizes valuation adjustments in connection with certain transactions with respect to which management is unable to accurately predict when these items will be incurred or, when incurred, the amount of such items. The following table presents the impact of these items on reported EPS for the dates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tbl>
      <w:tblPr>
        <w:tblW w:w="9899" w:type="dxa"/>
        <w:jc w:val="center"/>
        <w:tblInd w:w="0" w:type="dxa"/>
        <w:tblLayout w:type="fixed"/>
        <w:tblCellMar>
          <w:top w:w="28" w:type="dxa"/>
          <w:left w:w="28" w:type="dxa"/>
          <w:bottom w:w="28" w:type="dxa"/>
          <w:right w:w="28" w:type="dxa"/>
        </w:tblCellMar>
      </w:tblPr>
      <w:tblGrid>
        <w:gridCol w:w="1074"/>
        <w:gridCol w:w="946"/>
        <w:gridCol w:w="949"/>
        <w:gridCol w:w="196"/>
        <w:gridCol w:w="406"/>
        <w:gridCol w:w="109"/>
        <w:gridCol w:w="219"/>
        <w:gridCol w:w="454"/>
        <w:gridCol w:w="123"/>
        <w:gridCol w:w="475"/>
        <w:gridCol w:w="985"/>
        <w:gridCol w:w="264"/>
        <w:gridCol w:w="109"/>
        <w:gridCol w:w="109"/>
        <w:gridCol w:w="109"/>
        <w:gridCol w:w="196"/>
        <w:gridCol w:w="496"/>
        <w:gridCol w:w="109"/>
        <w:gridCol w:w="196"/>
        <w:gridCol w:w="496"/>
        <w:gridCol w:w="109"/>
        <w:gridCol w:w="389"/>
        <w:gridCol w:w="1075"/>
        <w:gridCol w:w="306"/>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w:t>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to 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Pre-tax</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After-tax</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to Diluted EPS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conversion related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6219" w:type="dxa"/>
            <w:gridSpan w:val="18"/>
            <w:tcBorders/>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699" w:type="dxa"/>
            <w:gridSpan w:val="12"/>
            <w:tcBorders/>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jc w:val="both"/>
        <w:rPr>
          <w:rFonts w:ascii="Times New Roman;serif" w:hAnsi="Times New Roman;serif"/>
          <w:b w:val="false"/>
          <w:i/>
          <w:color w:val="000000"/>
          <w:sz w:val="20"/>
        </w:rPr>
      </w:pPr>
      <w:r>
        <w:rPr>
          <w:rFonts w:ascii="Times New Roman;serif" w:hAnsi="Times New Roman;serif"/>
          <w:b w:val="false"/>
          <w:i/>
          <w:color w:val="000000"/>
          <w:sz w:val="20"/>
        </w:rPr>
        <w:t>Net Interest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interest income, the difference between interest earned on assets and the cost of interest-bearing liabilities, is the largest component of our net income, comprising 81.96% of total revenue (i.e., net interest income on a fully taxable equivalent basis and noninterest income) for the first quarter of 2026. Changes in net interest income are driven by fluctuations in the volume, mix and repricing of assets and liabilities.</w:t>
      </w:r>
    </w:p>
    <w:tbl>
      <w:tblPr>
        <w:tblW w:w="9378" w:type="dxa"/>
        <w:jc w:val="left"/>
        <w:tblInd w:w="0" w:type="dxa"/>
        <w:tblLayout w:type="fixed"/>
        <w:tblCellMar>
          <w:top w:w="28" w:type="dxa"/>
          <w:left w:w="28" w:type="dxa"/>
          <w:bottom w:w="28" w:type="dxa"/>
          <w:right w:w="28" w:type="dxa"/>
        </w:tblCellMar>
      </w:tblPr>
      <w:tblGrid>
        <w:gridCol w:w="1207"/>
        <w:gridCol w:w="1058"/>
        <w:gridCol w:w="106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78"/>
        <w:gridCol w:w="278"/>
        <w:gridCol w:w="471"/>
        <w:gridCol w:w="109"/>
        <w:gridCol w:w="109"/>
        <w:gridCol w:w="109"/>
        <w:gridCol w:w="109"/>
        <w:gridCol w:w="109"/>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Interest Income (tax equivalent basis)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(tax equivalent basis)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average balance sheet data, including all major categories of interest-earning assets and interest-bearing liabilities, together with the interest earned or interest paid and the average yield or average rate paid on each such category on a tax-equivalent basis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22"/>
        <w:gridCol w:w="684"/>
        <w:gridCol w:w="697"/>
        <w:gridCol w:w="196"/>
        <w:gridCol w:w="961"/>
        <w:gridCol w:w="109"/>
        <w:gridCol w:w="109"/>
        <w:gridCol w:w="109"/>
        <w:gridCol w:w="109"/>
        <w:gridCol w:w="196"/>
        <w:gridCol w:w="736"/>
        <w:gridCol w:w="109"/>
        <w:gridCol w:w="109"/>
        <w:gridCol w:w="109"/>
        <w:gridCol w:w="109"/>
        <w:gridCol w:w="233"/>
        <w:gridCol w:w="233"/>
        <w:gridCol w:w="286"/>
        <w:gridCol w:w="109"/>
        <w:gridCol w:w="109"/>
        <w:gridCol w:w="109"/>
        <w:gridCol w:w="196"/>
        <w:gridCol w:w="961"/>
        <w:gridCol w:w="109"/>
        <w:gridCol w:w="109"/>
        <w:gridCol w:w="109"/>
        <w:gridCol w:w="109"/>
        <w:gridCol w:w="196"/>
        <w:gridCol w:w="736"/>
        <w:gridCol w:w="109"/>
        <w:gridCol w:w="109"/>
        <w:gridCol w:w="109"/>
        <w:gridCol w:w="109"/>
        <w:gridCol w:w="233"/>
        <w:gridCol w:w="233"/>
        <w:gridCol w:w="335"/>
      </w:tblGrid>
      <w:tr>
        <w:trPr/>
        <w:tc>
          <w:tcPr>
            <w:tcW w:w="102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br/>
              <w:t>Rate</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12,966,869 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Tax-exempt</w:t>
            </w:r>
            <w:r>
              <w:rPr>
                <w:rFonts w:ascii="Times New Roman;serif" w:hAnsi="Times New Roman;serif"/>
                <w:b w:val="false"/>
                <w:color w:val="000000"/>
                <w:sz w:val="12"/>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balances with banks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23,883,997 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16,135,864 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1,548,244 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26,855,360 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shareholders’ equity</w:t>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Interest-bearing demand</w:t>
            </w:r>
            <w:r>
              <w:rPr>
                <w:rFonts w:ascii="Times New Roman;serif" w:hAnsi="Times New Roman;serif"/>
                <w:b w:val="false"/>
                <w:color w:val="000000"/>
                <w:sz w:val="12"/>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11,741,333 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7,835,617 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deposits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16,614,606 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11,123,286 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Borrowed funds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17,587,720 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11,680,020 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3,408,830 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26,855,360 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17,989,636 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income/net interest margin</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228,424 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20"/>
        <w:jc w:val="both"/>
        <w:rPr/>
      </w:pPr>
      <w:r>
        <w:rPr>
          <w:rFonts w:ascii="Times New Roman;serif" w:hAnsi="Times New Roman;serif"/>
          <w:b w:val="false"/>
          <w:color w:val="000000"/>
          <w:sz w:val="10"/>
        </w:rPr>
        <w:t>(1)</w:t>
      </w:r>
      <w:r>
        <w:rPr>
          <w:rFonts w:ascii="Times New Roman;serif" w:hAnsi="Times New Roman;serif"/>
          <w:b w:val="false"/>
          <w:color w:val="000000"/>
          <w:sz w:val="16"/>
        </w:rPr>
        <w:t>U.S. Government and some U.S. Government Agency securities are tax-exempt in the states in which the Company operates.</w:t>
      </w:r>
    </w:p>
    <w:p>
      <w:pPr>
        <w:pStyle w:val="TextBody"/>
        <w:bidi w:val="0"/>
        <w:spacing w:lineRule="auto" w:line="288" w:before="0" w:after="0"/>
        <w:jc w:val="left"/>
        <w:rPr/>
      </w:pPr>
      <w:r>
        <w:rPr>
          <w:rFonts w:ascii="Times New Roman;serif" w:hAnsi="Times New Roman;serif"/>
          <w:b w:val="false"/>
          <w:color w:val="000000"/>
          <w:sz w:val="10"/>
        </w:rPr>
        <w:t>(2)</w:t>
      </w:r>
      <w:r>
        <w:rPr>
          <w:rFonts w:ascii="Times New Roman;serif" w:hAnsi="Times New Roman;serif"/>
          <w:b w:val="false"/>
          <w:color w:val="000000"/>
          <w:sz w:val="16"/>
        </w:rPr>
        <w:t>Interest-bearing demand deposits include interest-bearing transactional accounts and money market deposits.</w: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daily average balances of nonaccruing assets are included in the foregoing table. Interest income and weighted average yields on tax-exempt loans and securities have been computed on a fully tax equivalent basis assuming a federal tax rate of 21%, and for loans, a state tax rate of 4.45%, which is net of federal tax benefit.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interest income and net interest margin are influenced by internal and external factors. Internal factors include balance sheet changes in volume and mix as well as loan and deposit pricing decisions. External factors include changes in market interest rates, competition and the shape of the interest rate yield curve. The addition of The First’s loan portfolio and strong organic loan growth in 2025 were the largest contributing factors to the increase in net interest income for the three months ended March 31, 2026, as compared to the same period in 2025. Lower interest rates and the addition of The First’s deposits generated a positive impact to both the cost and mix of our funding sources. The Company has continued its efforts to mitigate increases in the cost of funding due to competition or otherwise through maintaining noninterest-bearing deposits and staying disciplined yet competitive in pricing on interest-bearing deposits in the current rate environment.</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changes in interest earned, on a tax equivalent basis, and interest paid resulting from changes in volume and rates for the Company for the three months ended March 31, 2026, as compared to the same period in 2025 (the changes attributable to the combined impact of yield/rate and volume have been allocated on a pro-rata basis using the absolute value of amounts calculated):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tbl>
      <w:tblPr>
        <w:tblW w:w="9560" w:type="dxa"/>
        <w:jc w:val="left"/>
        <w:tblInd w:w="0" w:type="dxa"/>
        <w:tblLayout w:type="fixed"/>
        <w:tblCellMar>
          <w:top w:w="28" w:type="dxa"/>
          <w:left w:w="28" w:type="dxa"/>
          <w:bottom w:w="28" w:type="dxa"/>
          <w:right w:w="28" w:type="dxa"/>
        </w:tblCellMar>
      </w:tblPr>
      <w:tblGrid>
        <w:gridCol w:w="978"/>
        <w:gridCol w:w="857"/>
        <w:gridCol w:w="864"/>
        <w:gridCol w:w="379"/>
        <w:gridCol w:w="1249"/>
        <w:gridCol w:w="210"/>
        <w:gridCol w:w="210"/>
        <w:gridCol w:w="210"/>
        <w:gridCol w:w="210"/>
        <w:gridCol w:w="379"/>
        <w:gridCol w:w="1249"/>
        <w:gridCol w:w="210"/>
        <w:gridCol w:w="210"/>
        <w:gridCol w:w="210"/>
        <w:gridCol w:w="210"/>
        <w:gridCol w:w="379"/>
        <w:gridCol w:w="1249"/>
        <w:gridCol w:w="297"/>
      </w:tblGrid>
      <w:tr>
        <w:trPr/>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 2026 Compared to the Three Months Ended March 31, 2025</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Rate</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income:</w:t>
            </w:r>
          </w:p>
        </w:tc>
        <w:tc>
          <w:tcPr>
            <w:tcW w:w="1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95,375 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99,621 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w:t>
            </w:r>
          </w:p>
        </w:tc>
        <w:tc>
          <w:tcPr>
            <w:tcW w:w="1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Taxable</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Tax-exempt</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balances with banks</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108,141 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11,279 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119,420 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1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demand deposits</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17,315 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 deposits</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Borrowed funds</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3,954 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39,318 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(10,890)</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28,428 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net interest income</w:t>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68,823 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90,992 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5023" w:type="dxa"/>
            <w:gridSpan w:val="12"/>
            <w:tcBorders/>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both"/>
        <w:rPr>
          <w:rFonts w:ascii="Times New Roman;serif" w:hAnsi="Times New Roman;serif"/>
          <w:b w:val="false"/>
          <w:color w:val="000000"/>
          <w:sz w:val="20"/>
        </w:rPr>
      </w:pPr>
      <w:r>
        <w:rPr>
          <w:rFonts w:ascii="Times New Roman;serif" w:hAnsi="Times New Roman;serif"/>
          <w:b w:val="false"/>
          <w:color w:val="000000"/>
          <w:sz w:val="20"/>
        </w:rPr>
        <w:t>The increase in interest income, on a tax equivalent basis, for the three months ended March 31, 2026, as compared to the same time period in 2025 is due primarily to the addition of The First’s earning assets.</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percentage of total average earning assets, by type and yield, for the periods presented:</w:t>
      </w:r>
    </w:p>
    <w:tbl>
      <w:tblPr>
        <w:tblW w:w="8534" w:type="dxa"/>
        <w:jc w:val="left"/>
        <w:tblInd w:w="0" w:type="dxa"/>
        <w:tblLayout w:type="fixed"/>
        <w:tblCellMar>
          <w:top w:w="28" w:type="dxa"/>
          <w:left w:w="28" w:type="dxa"/>
          <w:bottom w:w="28" w:type="dxa"/>
          <w:right w:w="28" w:type="dxa"/>
        </w:tblCellMar>
      </w:tblPr>
      <w:tblGrid>
        <w:gridCol w:w="979"/>
        <w:gridCol w:w="859"/>
        <w:gridCol w:w="862"/>
        <w:gridCol w:w="328"/>
        <w:gridCol w:w="318"/>
        <w:gridCol w:w="665"/>
        <w:gridCol w:w="283"/>
        <w:gridCol w:w="283"/>
        <w:gridCol w:w="283"/>
        <w:gridCol w:w="328"/>
        <w:gridCol w:w="318"/>
        <w:gridCol w:w="665"/>
        <w:gridCol w:w="109"/>
        <w:gridCol w:w="109"/>
        <w:gridCol w:w="109"/>
        <w:gridCol w:w="233"/>
        <w:gridCol w:w="233"/>
        <w:gridCol w:w="320"/>
        <w:gridCol w:w="136"/>
        <w:gridCol w:w="136"/>
        <w:gridCol w:w="136"/>
        <w:gridCol w:w="233"/>
        <w:gridCol w:w="233"/>
        <w:gridCol w:w="376"/>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Average Earning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investment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79.70 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80.36 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 for sale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13.28 </w:t>
            </w:r>
          </w:p>
        </w:tc>
        <w:tc>
          <w:tcPr>
            <w:tcW w:w="6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balances with banks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earning assets</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20"/>
        <w:jc w:val="both"/>
        <w:rPr/>
      </w:pPr>
      <w:r>
        <w:rPr/>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first quarter of 2026, interest income on loans held for investment, on a tax equivalent basis, increased $99,621 to $299,125 from $199,504 for the same period in 2025. Driven largely by the addition of $5,173,334 in loans held for investment through our merger with The First on April l, 2025, the year-to-date average balance of loans held for investment increased $6,068,246 from March 2025, thereby resulting in the increase in interest income on loans held for investment for the three months ended March 31, 2026, as compared to the same period in 2025.</w:t>
      </w:r>
    </w:p>
    <w:p>
      <w:pPr>
        <w:pStyle w:val="TextBody"/>
        <w:bidi w:val="0"/>
        <w:spacing w:lineRule="auto" w:line="288" w:before="240" w:after="180"/>
        <w:jc w:val="both"/>
        <w:rPr>
          <w:rFonts w:ascii="Times New Roman;serif" w:hAnsi="Times New Roman;serif"/>
          <w:b w:val="false"/>
          <w:color w:val="000000"/>
          <w:sz w:val="20"/>
        </w:rPr>
      </w:pPr>
      <w:r>
        <w:rPr>
          <w:rFonts w:ascii="Times New Roman;serif" w:hAnsi="Times New Roman;serif"/>
          <w:b w:val="false"/>
          <w:color w:val="000000"/>
          <w:sz w:val="20"/>
        </w:rPr>
        <w:t>The impact from interest income collected on problem loans and purchase accounting adjustments on loans to total interest income on loans held for investment, loan yield and net interest margin is shown in the following table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tbl>
      <w:tblPr>
        <w:tblW w:w="6393" w:type="dxa"/>
        <w:jc w:val="center"/>
        <w:tblInd w:w="0" w:type="dxa"/>
        <w:tblLayout w:type="fixed"/>
        <w:tblCellMar>
          <w:top w:w="28" w:type="dxa"/>
          <w:left w:w="28" w:type="dxa"/>
          <w:bottom w:w="28" w:type="dxa"/>
          <w:right w:w="28" w:type="dxa"/>
        </w:tblCellMar>
      </w:tblPr>
      <w:tblGrid>
        <w:gridCol w:w="1258"/>
        <w:gridCol w:w="1106"/>
        <w:gridCol w:w="1115"/>
        <w:gridCol w:w="196"/>
        <w:gridCol w:w="646"/>
        <w:gridCol w:w="256"/>
        <w:gridCol w:w="109"/>
        <w:gridCol w:w="109"/>
        <w:gridCol w:w="109"/>
        <w:gridCol w:w="196"/>
        <w:gridCol w:w="556"/>
        <w:gridCol w:w="256"/>
        <w:gridCol w:w="109"/>
        <w:gridCol w:w="109"/>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collected on problem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Accretable yield recognized on purchased loans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impact to interest income on loans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to loan yield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to net interest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Investment income, on a tax equivalent basis, increased $20,989 to $33,403 for the first quarter of 2026 from $12,414 for the first quarter of 2025. The increase in investment income, on a tax equivalent basis, was primarily due to the acquisition of The First’s investment portfolio. The tax equivalent yield on the investment portfolio for the first quarter of 2026 was 3.50%, up 118 basis points from 2.32% for the same period in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expense was $114,561 for the first quarter of 2026 as compared to $86,133 for the same period in 2025. The increase in interest expense was primarily due to the assumption of The First’s deposits and borrowed funds.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by type, the Company’s funding sources, which consist of total average deposits and borrowed funds, and the total cost of each funding source for the periods presented:</w:t>
      </w:r>
    </w:p>
    <w:tbl>
      <w:tblPr>
        <w:tblW w:w="9367" w:type="dxa"/>
        <w:jc w:val="left"/>
        <w:tblInd w:w="0" w:type="dxa"/>
        <w:tblLayout w:type="fixed"/>
        <w:tblCellMar>
          <w:top w:w="28" w:type="dxa"/>
          <w:left w:w="28" w:type="dxa"/>
          <w:bottom w:w="28" w:type="dxa"/>
          <w:right w:w="28" w:type="dxa"/>
        </w:tblCellMar>
      </w:tblPr>
      <w:tblGrid>
        <w:gridCol w:w="941"/>
        <w:gridCol w:w="825"/>
        <w:gridCol w:w="829"/>
        <w:gridCol w:w="377"/>
        <w:gridCol w:w="377"/>
        <w:gridCol w:w="885"/>
        <w:gridCol w:w="377"/>
        <w:gridCol w:w="377"/>
        <w:gridCol w:w="377"/>
        <w:gridCol w:w="377"/>
        <w:gridCol w:w="377"/>
        <w:gridCol w:w="885"/>
        <w:gridCol w:w="109"/>
        <w:gridCol w:w="109"/>
        <w:gridCol w:w="109"/>
        <w:gridCol w:w="233"/>
        <w:gridCol w:w="233"/>
        <w:gridCol w:w="320"/>
        <w:gridCol w:w="136"/>
        <w:gridCol w:w="136"/>
        <w:gridCol w:w="136"/>
        <w:gridCol w:w="233"/>
        <w:gridCol w:w="233"/>
        <w:gridCol w:w="376"/>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 Average Deposits and Borrowed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Funds</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demand</w:t>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22.44 </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demand</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51.78 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51.93 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Savings</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16.40 </w:t>
            </w:r>
          </w:p>
        </w:tc>
        <w:tc>
          <w:tcPr>
            <w:tcW w:w="8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Borrowed funds</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8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 and borrowed funds</w:t>
            </w:r>
          </w:p>
        </w:tc>
        <w:tc>
          <w:tcPr>
            <w:tcW w:w="7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cost of total deposits was 1.94% and 2.22% for the first quarter of 2026 and 2025, respectively. The increase in deposit expense and decrease in cost is attributable to the acquisition of The First’s deposits. The cost of total deposits was also affected by the Federal Reserve’s rate cuts in the third and fourth quarters of 2025. The Company has continued its efforts to maintain non-interest bearing deposits. Low cost deposits continue to be the preferred choice of funding; however, the Company may rely on brokered deposits or wholesale borrowings when advantageous, to address liquidity needs or as otherwise deemed advisable due to market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increase in interest expense on borrowings is due to higher average short-term borrowings and the additional subordinated notes and other long-term borrowings added as a result of the merger with The First.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more detailed discussion of the cost of our funding sources is set forth below under the heading “Liquidity and Capital Resources” in this Item.</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Noninterest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tbl>
      <w:tblPr>
        <w:tblW w:w="8572" w:type="dxa"/>
        <w:jc w:val="left"/>
        <w:tblInd w:w="0" w:type="dxa"/>
        <w:tblLayout w:type="fixed"/>
        <w:tblCellMar>
          <w:top w:w="28" w:type="dxa"/>
          <w:left w:w="28" w:type="dxa"/>
          <w:bottom w:w="28" w:type="dxa"/>
          <w:right w:w="28" w:type="dxa"/>
        </w:tblCellMar>
      </w:tblPr>
      <w:tblGrid>
        <w:gridCol w:w="967"/>
        <w:gridCol w:w="850"/>
        <w:gridCol w:w="853"/>
        <w:gridCol w:w="207"/>
        <w:gridCol w:w="682"/>
        <w:gridCol w:w="115"/>
        <w:gridCol w:w="115"/>
        <w:gridCol w:w="115"/>
        <w:gridCol w:w="115"/>
        <w:gridCol w:w="207"/>
        <w:gridCol w:w="682"/>
        <w:gridCol w:w="115"/>
        <w:gridCol w:w="109"/>
        <w:gridCol w:w="109"/>
        <w:gridCol w:w="109"/>
        <w:gridCol w:w="196"/>
        <w:gridCol w:w="646"/>
        <w:gridCol w:w="109"/>
        <w:gridCol w:w="109"/>
        <w:gridCol w:w="109"/>
        <w:gridCol w:w="109"/>
        <w:gridCol w:w="278"/>
        <w:gridCol w:w="278"/>
        <w:gridCol w:w="471"/>
        <w:gridCol w:w="109"/>
        <w:gridCol w:w="109"/>
        <w:gridCol w:w="109"/>
        <w:gridCol w:w="109"/>
        <w:gridCol w:w="109"/>
        <w:gridCol w:w="109"/>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Income</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on deposit accounts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Fees and commissions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Wealth management revenue</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income</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BOLI income</w:t>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50,272 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36,395 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725" w:type="dxa"/>
        <w:jc w:val="left"/>
        <w:tblInd w:w="0" w:type="dxa"/>
        <w:tblLayout w:type="fixed"/>
        <w:tblCellMar>
          <w:top w:w="28" w:type="dxa"/>
          <w:left w:w="28" w:type="dxa"/>
          <w:bottom w:w="28" w:type="dxa"/>
          <w:right w:w="28" w:type="dxa"/>
        </w:tblCellMar>
      </w:tblPr>
      <w:tblGrid>
        <w:gridCol w:w="987"/>
        <w:gridCol w:w="868"/>
        <w:gridCol w:w="874"/>
        <w:gridCol w:w="233"/>
        <w:gridCol w:w="233"/>
        <w:gridCol w:w="256"/>
        <w:gridCol w:w="109"/>
        <w:gridCol w:w="109"/>
        <w:gridCol w:w="109"/>
        <w:gridCol w:w="233"/>
        <w:gridCol w:w="233"/>
        <w:gridCol w:w="25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income to average assets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noninterest income includes fees generated from deposit services and other fees and commissions, income from our wealth management and mortgage banking operations, realized gains and losses on the sale of securities and all other noninterest income. Other noninterest income includes income from our SBA banking division, our capital markets division and other miscellaneous income and can fluctuate based on production in our SBA banking and capital markets divisions and recognition of other seasonal income items. Our focus is to develop and enhance our products that generate noninterest income in order to diversify revenue sources. The acquisition of The First’s operations was the primary driver of the increase in noninterest income for the three months ended March 31, 2026 as compared to the same period in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Wealth Management segment has two divisions: Trust and Financial Services. The Trust division operates on a custodial basis, which includes administration of benefit plans, as well as accounting and money management for trust accounts. The division manages a number of trust accounts inclusive of personal and corporate benefit accounts, IRAs, and custodial accounts. Fees for managing these accounts are based on changes in market values of the assets under management in the account, with the amount of the fee depending on the type of account. The Financial Services division provides specialized products and services to our customers, which include fixed and variable annuities, mutual funds, and stocks offered through a third party provider. The market value of assets under management or administration was $7,220,486 and $6,469,093 at March 31, 2026 and March 31, 2025, respectively. The Company acquired approximately $471,000 of assets under management through its merger with The First.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Mortgage banking income is derived from the origination and sale of mortgage loans and the servicing of mortgage loans that the Company has sold but retained the right to service. Although loan fees and some interest income are derived from mortgage loans held for sale, the main source of income is gains from the sale of these loans in the secondary market. Originations of mortgage loans to be sold totaled $342,536 in the first quarter of 2026 compared to $303,158 for the same period in 2025. The table below presents the components of mortgage banking income included in noninterest income for the periods presented.</w:t>
      </w:r>
    </w:p>
    <w:tbl>
      <w:tblPr>
        <w:tblW w:w="5380" w:type="dxa"/>
        <w:jc w:val="center"/>
        <w:tblInd w:w="0" w:type="dxa"/>
        <w:tblLayout w:type="fixed"/>
        <w:tblCellMar>
          <w:top w:w="28" w:type="dxa"/>
          <w:left w:w="28" w:type="dxa"/>
          <w:bottom w:w="28" w:type="dxa"/>
          <w:right w:w="28" w:type="dxa"/>
        </w:tblCellMar>
      </w:tblPr>
      <w:tblGrid>
        <w:gridCol w:w="908"/>
        <w:gridCol w:w="795"/>
        <w:gridCol w:w="801"/>
        <w:gridCol w:w="229"/>
        <w:gridCol w:w="651"/>
        <w:gridCol w:w="127"/>
        <w:gridCol w:w="127"/>
        <w:gridCol w:w="127"/>
        <w:gridCol w:w="127"/>
        <w:gridCol w:w="229"/>
        <w:gridCol w:w="651"/>
        <w:gridCol w:w="127"/>
        <w:gridCol w:w="109"/>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Mortgage Banking Income</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 on sales of loans, net</w:t>
            </w:r>
            <w:r>
              <w:rPr>
                <w:color w:val="000000"/>
              </w:rPr>
              <w:t xml:space="preserve"> </w:t>
            </w:r>
            <w:r>
              <w:rPr>
                <w:rFonts w:ascii="Times New Roman;serif" w:hAnsi="Times New Roman;serif"/>
                <w:b w:val="false"/>
                <w:color w:val="000000"/>
                <w:sz w:val="12"/>
              </w:rPr>
              <w:t>(1)</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Fees, net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Mortgage servicing income, net</w:t>
            </w:r>
            <w:r>
              <w:rPr>
                <w:rFonts w:ascii="Times New Roman;serif" w:hAnsi="Times New Roman;serif"/>
                <w:b w:val="false"/>
                <w:color w:val="000000"/>
                <w:sz w:val="12"/>
              </w:rPr>
              <w:t>(2)</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Mortgage banking income,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Gain on sales of loans, net includes pipeline fair value adjustments</w:t>
      </w:r>
    </w:p>
    <w:p>
      <w:pPr>
        <w:pStyle w:val="TextBody"/>
        <w:bidi w:val="0"/>
        <w:spacing w:lineRule="auto" w:line="288" w:before="0" w:after="180"/>
        <w:ind w:left="0" w:right="0" w:hanging="36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6"/>
        </w:rPr>
        <w:t>Mortgage servicing income, net includes gain on sale of MSR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Noninterest Expense</w:t>
      </w:r>
    </w:p>
    <w:tbl>
      <w:tblPr>
        <w:tblW w:w="9001" w:type="dxa"/>
        <w:jc w:val="left"/>
        <w:tblInd w:w="0" w:type="dxa"/>
        <w:tblLayout w:type="fixed"/>
        <w:tblCellMar>
          <w:top w:w="28" w:type="dxa"/>
          <w:left w:w="28" w:type="dxa"/>
          <w:bottom w:w="28" w:type="dxa"/>
          <w:right w:w="28" w:type="dxa"/>
        </w:tblCellMar>
      </w:tblPr>
      <w:tblGrid>
        <w:gridCol w:w="1076"/>
        <w:gridCol w:w="944"/>
        <w:gridCol w:w="94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314"/>
        <w:gridCol w:w="316"/>
        <w:gridCol w:w="471"/>
        <w:gridCol w:w="109"/>
        <w:gridCol w:w="109"/>
        <w:gridCol w:w="109"/>
        <w:gridCol w:w="109"/>
        <w:gridCol w:w="109"/>
        <w:gridCol w:w="109"/>
        <w:gridCol w:w="109"/>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Noninterest Expense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employee benefits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processing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occupancy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owned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public relations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conversion 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786" w:type="dxa"/>
        <w:jc w:val="left"/>
        <w:tblInd w:w="0" w:type="dxa"/>
        <w:tblLayout w:type="fixed"/>
        <w:tblCellMar>
          <w:top w:w="28" w:type="dxa"/>
          <w:left w:w="28" w:type="dxa"/>
          <w:bottom w:w="28" w:type="dxa"/>
          <w:right w:w="28" w:type="dxa"/>
        </w:tblCellMar>
      </w:tblPr>
      <w:tblGrid>
        <w:gridCol w:w="1009"/>
        <w:gridCol w:w="888"/>
        <w:gridCol w:w="893"/>
        <w:gridCol w:w="233"/>
        <w:gridCol w:w="233"/>
        <w:gridCol w:w="256"/>
        <w:gridCol w:w="109"/>
        <w:gridCol w:w="109"/>
        <w:gridCol w:w="109"/>
        <w:gridCol w:w="233"/>
        <w:gridCol w:w="233"/>
        <w:gridCol w:w="25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 expense to average assets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both"/>
        <w:rPr>
          <w:rFonts w:ascii="Times New Roman;serif" w:hAnsi="Times New Roman;serif"/>
          <w:b w:val="false"/>
          <w:color w:val="000000"/>
          <w:sz w:val="20"/>
        </w:rPr>
      </w:pPr>
      <w:r>
        <w:rPr>
          <w:rFonts w:ascii="Times New Roman;serif" w:hAnsi="Times New Roman;serif"/>
          <w:b w:val="false"/>
          <w:color w:val="000000"/>
          <w:sz w:val="20"/>
        </w:rPr>
        <w:t>Other noninterest expense includes business development and travel expenses, other discretionary expenses, loan fees expense and other miscellaneous fees and operating expenses. The acquisition of The First’s operations was the primary driver of the increase in noninterest expense for the three months ended March 31, 2026 as compared to the same period in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Annual merit increases implemented in April 2025 and elevated incentive accruals driven by first quarter performance also contributed to the increase in salaries and employee benefits.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Efficiency Ratio</w:t>
      </w:r>
    </w:p>
    <w:tbl>
      <w:tblPr>
        <w:tblW w:w="4372" w:type="dxa"/>
        <w:jc w:val="center"/>
        <w:tblInd w:w="0" w:type="dxa"/>
        <w:tblLayout w:type="fixed"/>
        <w:tblCellMar>
          <w:top w:w="28" w:type="dxa"/>
          <w:left w:w="28" w:type="dxa"/>
          <w:bottom w:w="28" w:type="dxa"/>
          <w:right w:w="28" w:type="dxa"/>
        </w:tblCellMar>
      </w:tblPr>
      <w:tblGrid>
        <w:gridCol w:w="434"/>
        <w:gridCol w:w="382"/>
        <w:gridCol w:w="384"/>
        <w:gridCol w:w="278"/>
        <w:gridCol w:w="278"/>
        <w:gridCol w:w="482"/>
        <w:gridCol w:w="205"/>
        <w:gridCol w:w="205"/>
        <w:gridCol w:w="205"/>
        <w:gridCol w:w="278"/>
        <w:gridCol w:w="278"/>
        <w:gridCol w:w="482"/>
        <w:gridCol w:w="109"/>
        <w:gridCol w:w="109"/>
        <w:gridCol w:w="109"/>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Efficiency Ratio</w:t>
            </w:r>
          </w:p>
        </w:tc>
        <w:tc>
          <w:tcPr>
            <w:tcW w:w="481" w:type="dxa"/>
            <w:gridSpan w:val="4"/>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Efficiency ratio</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65.51 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efficiency ratio is a measure of productivity in the banking industry. (This ratio is a measure of our ability to turn expenses into revenue. That is, the ratio is designed to reflect the percentage of one dollar that we must expend to generate a dollar of revenue.) The Company calculates this ratio by dividing noninterest expense by the sum of net interest income on a fully tax equivalent basis and noninterest income. The improvement in our efficiency ratio for the three months ended March 31, 2026 as compared to the same period in 2025 was driven by revenue growth while at the same time controlling noninterest expenses and eliminating duplicative expenses during the integration of The First into our business model.</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tbl>
      <w:tblPr>
        <w:tblW w:w="6951" w:type="dxa"/>
        <w:jc w:val="left"/>
        <w:tblInd w:w="0" w:type="dxa"/>
        <w:tblLayout w:type="fixed"/>
        <w:tblCellMar>
          <w:top w:w="28" w:type="dxa"/>
          <w:left w:w="28" w:type="dxa"/>
          <w:bottom w:w="28" w:type="dxa"/>
          <w:right w:w="28" w:type="dxa"/>
        </w:tblCellMar>
      </w:tblPr>
      <w:tblGrid>
        <w:gridCol w:w="380"/>
        <w:gridCol w:w="333"/>
        <w:gridCol w:w="336"/>
        <w:gridCol w:w="207"/>
        <w:gridCol w:w="682"/>
        <w:gridCol w:w="115"/>
        <w:gridCol w:w="115"/>
        <w:gridCol w:w="115"/>
        <w:gridCol w:w="115"/>
        <w:gridCol w:w="207"/>
        <w:gridCol w:w="682"/>
        <w:gridCol w:w="115"/>
        <w:gridCol w:w="109"/>
        <w:gridCol w:w="109"/>
        <w:gridCol w:w="109"/>
        <w:gridCol w:w="196"/>
        <w:gridCol w:w="646"/>
        <w:gridCol w:w="109"/>
        <w:gridCol w:w="109"/>
        <w:gridCol w:w="109"/>
        <w:gridCol w:w="109"/>
        <w:gridCol w:w="278"/>
        <w:gridCol w:w="278"/>
        <w:gridCol w:w="471"/>
        <w:gridCol w:w="109"/>
        <w:gridCol w:w="109"/>
        <w:gridCol w:w="109"/>
        <w:gridCol w:w="109"/>
        <w:gridCol w:w="109"/>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22,195 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the Company’s income before income taxes for the three months ended March 31, 2026 as compared to the same period in 2025 was the primary driver of the increase in income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Risk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180"/>
        <w:jc w:val="both"/>
        <w:rPr/>
      </w:pPr>
      <w:r>
        <w:rPr>
          <w:rFonts w:ascii="Times New Roman;serif" w:hAnsi="Times New Roman;serif"/>
          <w:b w:val="false"/>
          <w:color w:val="000000"/>
          <w:sz w:val="20"/>
          <w:u w:val="single"/>
        </w:rPr>
        <w:t>Nonperforming Assets</w:t>
      </w:r>
      <w:r>
        <w:rPr>
          <w:rFonts w:ascii="Times New Roman;serif" w:hAnsi="Times New Roman;serif"/>
          <w:b w:val="false"/>
          <w:color w:val="000000"/>
          <w:sz w:val="20"/>
        </w:rPr>
        <w:t>. Nonperforming assets consist of nonperforming loans and other real estate owned. Nonperforming loans are loans on which the accrual of interest has stopped and loans that are contractually 90 days past due on which interest continues to accrue. Generally, the accrual of interest is discontinued when the full collection of principal or interest is in doubt or when the payment of principal or interest has been contractually 90 days past due, unless the obligation is both well secured and in the process of collection. Management, the Company’s problem asset resolution committee and our loan review staff closely monitor loans that are considered to be nonperforming.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real estate owned consists of properties acquired through foreclosure or acceptance of a deed in lieu of foreclosure. These properties are carried at the lower of cost or fair market value based on appraised value less estimated selling costs. Losses arising at the time of foreclosure of properties are charged against the allowance for credit losses. Reductions in the carrying value subsequent to acquisition are charged to earnings and are included in “Other real estate owned” in the Consolidated Statements of Income.</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details of the Company’s nonperforming assets as of the dates presented. </w:t>
      </w:r>
    </w:p>
    <w:tbl>
      <w:tblPr>
        <w:tblW w:w="6487" w:type="dxa"/>
        <w:jc w:val="left"/>
        <w:tblInd w:w="0" w:type="dxa"/>
        <w:tblLayout w:type="fixed"/>
        <w:tblCellMar>
          <w:top w:w="28" w:type="dxa"/>
          <w:left w:w="28" w:type="dxa"/>
          <w:bottom w:w="28" w:type="dxa"/>
          <w:right w:w="28" w:type="dxa"/>
        </w:tblCellMar>
      </w:tblPr>
      <w:tblGrid>
        <w:gridCol w:w="1097"/>
        <w:gridCol w:w="964"/>
        <w:gridCol w:w="968"/>
        <w:gridCol w:w="109"/>
        <w:gridCol w:w="109"/>
        <w:gridCol w:w="109"/>
        <w:gridCol w:w="208"/>
        <w:gridCol w:w="781"/>
        <w:gridCol w:w="271"/>
        <w:gridCol w:w="109"/>
        <w:gridCol w:w="109"/>
        <w:gridCol w:w="109"/>
        <w:gridCol w:w="245"/>
        <w:gridCol w:w="922"/>
        <w:gridCol w:w="377"/>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Nonaccruing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175,730 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Accruing loans past due 90 days or more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176,018 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15,191 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nonperforming loans and OREO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191,209 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 to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3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Nonaccruing loans to 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assets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nonperforming loans by loan category as of the dates presented:</w:t>
      </w:r>
    </w:p>
    <w:tbl>
      <w:tblPr>
        <w:tblW w:w="6586" w:type="dxa"/>
        <w:jc w:val="left"/>
        <w:tblInd w:w="0" w:type="dxa"/>
        <w:tblLayout w:type="fixed"/>
        <w:tblCellMar>
          <w:top w:w="28" w:type="dxa"/>
          <w:left w:w="28" w:type="dxa"/>
          <w:bottom w:w="28" w:type="dxa"/>
          <w:right w:w="28" w:type="dxa"/>
        </w:tblCellMar>
      </w:tblPr>
      <w:tblGrid>
        <w:gridCol w:w="1329"/>
        <w:gridCol w:w="1170"/>
        <w:gridCol w:w="1175"/>
        <w:gridCol w:w="196"/>
        <w:gridCol w:w="736"/>
        <w:gridCol w:w="109"/>
        <w:gridCol w:w="109"/>
        <w:gridCol w:w="109"/>
        <w:gridCol w:w="109"/>
        <w:gridCol w:w="277"/>
        <w:gridCol w:w="1047"/>
        <w:gridCol w:w="220"/>
      </w:tblGrid>
      <w:tr>
        <w:trPr/>
        <w:tc>
          <w:tcPr>
            <w:tcW w:w="132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construction and land development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7,730 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lien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60,874 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Junior lien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real estate – 1-4 family mortgage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65,431 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Multi 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42,610 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 real estate - non-owner occupied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net of unearned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176,018 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has evaluated the aforementioned loans and other loans classified as nonperforming and believes that all nonperforming loans have been adequately reserved for in the allowance for credit losses on loans at March 31, 2026. Management also continually monitors past due loans for potential credit quality deterioration. Total loans 30-89 days past due on which interest was still accruing were $68,597 at March 31, 2026 as compared to $89,162 at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180"/>
        <w:jc w:val="both"/>
        <w:rPr/>
      </w:pPr>
      <w:r>
        <w:rPr>
          <w:rFonts w:ascii="Times New Roman;serif" w:hAnsi="Times New Roman;serif"/>
          <w:b w:val="false"/>
          <w:color w:val="000000"/>
          <w:sz w:val="20"/>
          <w:u w:val="single"/>
        </w:rPr>
        <w:t>Allowance for Credit Losses on Loans; Provision for Credit Losses on Loans</w:t>
      </w:r>
      <w:r>
        <w:rPr>
          <w:rFonts w:ascii="Times New Roman;serif" w:hAnsi="Times New Roman;serif"/>
          <w:b w:val="false"/>
          <w:color w:val="000000"/>
          <w:sz w:val="20"/>
        </w:rPr>
        <w:t>. The allowance for credit losses is available to absorb credit losses inherent in the loans held for investment portfolio. Loan losses are charged against the allowance for credit losses when management confirms the uncollectability of a loan balance. Subsequent recoveries, if any, are credited to the allowance. Management evaluates the adequacy of the allowance on a quarterly basis.The following table presents the allocation of the allowance for credit losses on loans and the percentage of each loan category to total loans for each of period presented.</w:t>
      </w:r>
    </w:p>
    <w:tbl>
      <w:tblPr>
        <w:tblW w:w="10205" w:type="dxa"/>
        <w:jc w:val="left"/>
        <w:tblInd w:w="0" w:type="dxa"/>
        <w:tblLayout w:type="fixed"/>
        <w:tblCellMar>
          <w:top w:w="28" w:type="dxa"/>
          <w:left w:w="28" w:type="dxa"/>
          <w:bottom w:w="28" w:type="dxa"/>
          <w:right w:w="28" w:type="dxa"/>
        </w:tblCellMar>
      </w:tblPr>
      <w:tblGrid>
        <w:gridCol w:w="1104"/>
        <w:gridCol w:w="968"/>
        <w:gridCol w:w="970"/>
        <w:gridCol w:w="196"/>
        <w:gridCol w:w="736"/>
        <w:gridCol w:w="109"/>
        <w:gridCol w:w="323"/>
        <w:gridCol w:w="323"/>
        <w:gridCol w:w="461"/>
        <w:gridCol w:w="109"/>
        <w:gridCol w:w="109"/>
        <w:gridCol w:w="109"/>
        <w:gridCol w:w="196"/>
        <w:gridCol w:w="736"/>
        <w:gridCol w:w="109"/>
        <w:gridCol w:w="323"/>
        <w:gridCol w:w="323"/>
        <w:gridCol w:w="461"/>
        <w:gridCol w:w="109"/>
        <w:gridCol w:w="109"/>
        <w:gridCol w:w="109"/>
        <w:gridCol w:w="196"/>
        <w:gridCol w:w="736"/>
        <w:gridCol w:w="109"/>
        <w:gridCol w:w="323"/>
        <w:gridCol w:w="323"/>
        <w:gridCol w:w="526"/>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3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23.59 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 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33.73 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increase in the allowance for credit losses in the first quarter of 2026 as compared to December 31, 2025 was primarily driven by an increase in non-performing loans, changes in the macroeconomic environment and qualitative factors partially moderated by reduction in the loan portfolio. The provision increased in select residential related pools due to the risk of potential stagflation and value declines. The Company’s allowance for credit loss considers current conditions, economic projections, primarily the national unemployment rate and GDP over a reasonable and supportable period of two years, historical loss data, and environmental factors. For more information about the allowance for credit losses, see the “Critical Accounting Estimates” section in this Item below. The provision for credit losses on loans charged to operating expense is an amount that, in the judgment of management, is necessary to maintain the allowance for credit losses on loans at a level adequate to meet the inherent risks of losses in our loan portfolio. The Company recorded a provision for credit losses on loans of $4,224 or 0.09% of average loans (annualized), for the three months ended March 31, 2026, as compared to $2,050, or 0.06% of average loans (annualized), during the three months ended March 31, 2025. The table below reflects the activity in the allowance for credit losses on loans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tbl>
      <w:tblPr>
        <w:tblW w:w="8959" w:type="dxa"/>
        <w:jc w:val="left"/>
        <w:tblInd w:w="0" w:type="dxa"/>
        <w:tblLayout w:type="fixed"/>
        <w:tblCellMar>
          <w:top w:w="28" w:type="dxa"/>
          <w:left w:w="28" w:type="dxa"/>
          <w:bottom w:w="28" w:type="dxa"/>
          <w:right w:w="28" w:type="dxa"/>
        </w:tblCellMar>
      </w:tblPr>
      <w:tblGrid>
        <w:gridCol w:w="2090"/>
        <w:gridCol w:w="1838"/>
        <w:gridCol w:w="1847"/>
        <w:gridCol w:w="196"/>
        <w:gridCol w:w="736"/>
        <w:gridCol w:w="256"/>
        <w:gridCol w:w="109"/>
        <w:gridCol w:w="109"/>
        <w:gridCol w:w="109"/>
        <w:gridCol w:w="196"/>
        <w:gridCol w:w="736"/>
        <w:gridCol w:w="256"/>
        <w:gridCol w:w="109"/>
        <w:gridCol w:w="109"/>
        <w:gridCol w:w="109"/>
        <w:gridCol w:w="154"/>
      </w:tblGrid>
      <w:tr>
        <w:trPr/>
        <w:tc>
          <w:tcPr>
            <w:tcW w:w="2090"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201,756 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Charge-offs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charge-offs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recoveries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recoveries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 on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295,862 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203,931 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 on loans (annualized) to average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(annualized) to average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(recoveries) (annualized) to allowance for credit losses on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on loans to:</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Nonaccrual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Nonaccrual loans to total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 below reflects annualized net charge-offs (recoveries) to daily average loans outstanding, by loan category, for the periods presented:</w:t>
      </w:r>
    </w:p>
    <w:tbl>
      <w:tblPr>
        <w:tblW w:w="10205" w:type="dxa"/>
        <w:jc w:val="left"/>
        <w:tblInd w:w="0" w:type="dxa"/>
        <w:tblLayout w:type="fixed"/>
        <w:tblCellMar>
          <w:top w:w="28" w:type="dxa"/>
          <w:left w:w="28" w:type="dxa"/>
          <w:bottom w:w="28" w:type="dxa"/>
          <w:right w:w="28" w:type="dxa"/>
        </w:tblCellMar>
      </w:tblPr>
      <w:tblGrid>
        <w:gridCol w:w="582"/>
        <w:gridCol w:w="471"/>
        <w:gridCol w:w="472"/>
        <w:gridCol w:w="492"/>
        <w:gridCol w:w="317"/>
        <w:gridCol w:w="274"/>
        <w:gridCol w:w="389"/>
        <w:gridCol w:w="454"/>
        <w:gridCol w:w="462"/>
        <w:gridCol w:w="503"/>
        <w:gridCol w:w="503"/>
        <w:gridCol w:w="504"/>
        <w:gridCol w:w="109"/>
        <w:gridCol w:w="109"/>
        <w:gridCol w:w="109"/>
        <w:gridCol w:w="610"/>
        <w:gridCol w:w="338"/>
        <w:gridCol w:w="341"/>
        <w:gridCol w:w="389"/>
        <w:gridCol w:w="454"/>
        <w:gridCol w:w="462"/>
        <w:gridCol w:w="542"/>
        <w:gridCol w:w="542"/>
        <w:gridCol w:w="777"/>
      </w:tblGrid>
      <w:tr>
        <w:trPr/>
        <w:tc>
          <w:tcPr>
            <w:tcW w:w="58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Charge-offs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Loans</w:t>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Annualized Net Charge-offs to Average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Recoveries (Charge-offs)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Loans</w:t>
            </w:r>
          </w:p>
        </w:tc>
        <w:tc>
          <w:tcPr>
            <w:tcW w:w="1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Annualized Net Recoveries (Charge-offs) to Average Loans</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2,895,420</w:t>
            </w:r>
          </w:p>
        </w:tc>
        <w:tc>
          <w:tcPr>
            <w:tcW w:w="1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1,977,985</w:t>
            </w:r>
          </w:p>
        </w:tc>
        <w:tc>
          <w:tcPr>
            <w:tcW w:w="1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and land development</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1,896,471</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1,337,477</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8"/>
              </w:rPr>
              <w:t>%</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 1-4 family mortgage</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4,603,732</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3,413,575</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owner occupied</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3,338,519</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1,905,950</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 - non-owner occupied</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6,196,305</w:t>
            </w:r>
          </w:p>
        </w:tc>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4,244,100</w:t>
            </w:r>
          </w:p>
        </w:tc>
        <w:tc>
          <w:tcPr>
            <w:tcW w:w="1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8"/>
              </w:rPr>
              <w:t>%</w:t>
            </w:r>
          </w:p>
        </w:tc>
      </w:tr>
      <w:tr>
        <w:trPr/>
        <w:tc>
          <w:tcPr>
            <w:tcW w:w="1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104,668</w:t>
            </w:r>
          </w:p>
        </w:tc>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87,782</w:t>
            </w:r>
          </w:p>
        </w:tc>
        <w:tc>
          <w:tcPr>
            <w:tcW w:w="1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r>
      <w:tr>
        <w:trPr/>
        <w:tc>
          <w:tcPr>
            <w:tcW w:w="1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19,035,115</w:t>
            </w:r>
          </w:p>
        </w:tc>
        <w:tc>
          <w:tcPr>
            <w:tcW w:w="15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12,966,869</w:t>
            </w:r>
          </w:p>
        </w:tc>
        <w:tc>
          <w:tcPr>
            <w:tcW w:w="186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18"/>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u w:val="single"/>
        </w:rPr>
        <w:t>Allowance for Credit Losses on Unfunded Commitments; Provision for Credit Losses on Unfunded Commitments</w:t>
      </w:r>
      <w:r>
        <w:rPr>
          <w:rFonts w:ascii="Times New Roman;serif" w:hAnsi="Times New Roman;serif"/>
          <w:b w:val="false"/>
          <w:color w:val="000000"/>
          <w:sz w:val="20"/>
        </w:rPr>
        <w:t>. The Company maintains a separate allowance for credit losses on unfunded loan commitments, which is included in the “Other liabilities” line item on the Consolidated Balance Sheets. Management estimates the amount of expected losses on unfunded loan commitments by calculating a likelihood of funding over the contractual period for exposures that are not unconditionally cancellable by the Company and applying the loss factors used in the allowance for credit losses on loans methodology described above to unfunded commitments for each loan type. No credit loss estimate is reported for off-balance-sheet credit exposures that are unconditionally cancellable by the Company. A roll-forward of the allowance for credit losses on unfunded commitments is shown in the table below.</w:t>
      </w:r>
    </w:p>
    <w:tbl>
      <w:tblPr>
        <w:tblW w:w="7254" w:type="dxa"/>
        <w:jc w:val="center"/>
        <w:tblInd w:w="0" w:type="dxa"/>
        <w:tblLayout w:type="fixed"/>
        <w:tblCellMar>
          <w:top w:w="28" w:type="dxa"/>
          <w:left w:w="28" w:type="dxa"/>
          <w:bottom w:w="28" w:type="dxa"/>
          <w:right w:w="28" w:type="dxa"/>
        </w:tblCellMar>
      </w:tblPr>
      <w:tblGrid>
        <w:gridCol w:w="1801"/>
        <w:gridCol w:w="1582"/>
        <w:gridCol w:w="1597"/>
        <w:gridCol w:w="196"/>
        <w:gridCol w:w="646"/>
        <w:gridCol w:w="109"/>
        <w:gridCol w:w="109"/>
        <w:gridCol w:w="109"/>
        <w:gridCol w:w="109"/>
        <w:gridCol w:w="196"/>
        <w:gridCol w:w="646"/>
        <w:gridCol w:w="154"/>
      </w:tblGrid>
      <w:tr>
        <w:trPr/>
        <w:tc>
          <w:tcPr>
            <w:tcW w:w="1801"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on unfunded loan commitments: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on unfunded loan commitments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provision for credit losses on unfunded commitments in the first quarter of 2026 was primarily driven by growth in the balance of unfunded loan commitments in the commercial and residential construction related pools.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from adverse changes in market prices and rates. The majority of assets and liabilities of a financial institution are monetary in nature and therefore differ greatly from most commercial and industrial companies that have significant investments in fixed assets and inventories. Our market risk arises primarily from interest rate risk inherent in lending, investing and deposit-taking activities. Management believes a significant impact on the Company’s financial results stems from our ability to react to changes in interest rates. A sudden and substantial change in interest rates may adversely impact our earnings because the interest rates borne by assets and liabilities do not change at the same speed, to the same extent or on the same basis. Changes in rates may also limit our liquidity, making it more costly for the Company to generate funds to make loans and to satisfy customers wishing to withdraw deposits.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Because of the impact of interest rate fluctuations on our profitability and liquidity, we actively monitor and manage our interest rate risk exposure. We have an Asset/Liability Committee (“ALCO”), which is comprised of various members of senior management and is authorized by the Board of Directors to monitor interest rate sensitivity and liquidity risk, over the short-, medium-, and long-term, and to make decisions relating to these processes. The ALCO’s goal is to structure our asset/liability composition to maximize net interest income while managing interest rate risk and preserving adequate liquidity so as to minimize the adverse impact of changes in interest rates on net interest income, liquidity and capital. We regularly monitor liquidity and stress our liquidity position in various simulated scenarios, which are incorporated in our contingency funding plan outlining different potential liquidity environments. The ALCO uses an asset/liability model as the primary quantitative tool in measuring the amount of interest rate risk associated with changing market rates. The model is used to perform both net interest income forecast simulations for multiple year horizons and economic value of equity (“EVE”) analyses, each under various interest rate scenarios.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interest income forecast simulations measure the short- and medium-term earnings exposure from changes in market interest rates in a rigorous and explicit fashion. Our current financial position is combined with assumptions regarding future business to calculate future net interest income under various hypothetical rate scenarios.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projected impact of a change in interest rates on (1) static EVE and (2) earnings at risk (that is, net interest income) for the 1-12 and 13-24 month periods commencing April 1, 2026, in each case as compared to the result under rates present in the market on March 31, 2026. The changes in interest rates assume an instantaneous and parallel shift in the yield curve and do not account for changes in the slope of the yield curve.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tbl>
      <w:tblPr>
        <w:tblW w:w="9480" w:type="dxa"/>
        <w:jc w:val="center"/>
        <w:tblInd w:w="0" w:type="dxa"/>
        <w:tblLayout w:type="fixed"/>
        <w:tblCellMar>
          <w:top w:w="28" w:type="dxa"/>
          <w:left w:w="28" w:type="dxa"/>
          <w:bottom w:w="28" w:type="dxa"/>
          <w:right w:w="28" w:type="dxa"/>
        </w:tblCellMar>
      </w:tblPr>
      <w:tblGrid>
        <w:gridCol w:w="1372"/>
        <w:gridCol w:w="1207"/>
        <w:gridCol w:w="1215"/>
        <w:gridCol w:w="109"/>
        <w:gridCol w:w="109"/>
        <w:gridCol w:w="109"/>
        <w:gridCol w:w="764"/>
        <w:gridCol w:w="764"/>
        <w:gridCol w:w="767"/>
        <w:gridCol w:w="117"/>
        <w:gridCol w:w="117"/>
        <w:gridCol w:w="117"/>
        <w:gridCol w:w="339"/>
        <w:gridCol w:w="339"/>
        <w:gridCol w:w="341"/>
        <w:gridCol w:w="180"/>
        <w:gridCol w:w="180"/>
        <w:gridCol w:w="180"/>
        <w:gridCol w:w="337"/>
        <w:gridCol w:w="337"/>
        <w:gridCol w:w="480"/>
      </w:tblGrid>
      <w:tr>
        <w:trPr/>
        <w:tc>
          <w:tcPr>
            <w:tcW w:w="137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 In:</w:t>
            </w:r>
          </w:p>
        </w:tc>
      </w:tr>
      <w:tr>
        <w:trPr/>
        <w:tc>
          <w:tcPr>
            <w:tcW w:w="37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Immediate Change in Rates of (in basis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Economic Value Equity (EVE)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Earning at Risk </w:t>
              <w:br/>
              <w:t>(Net Interest Income)</w:t>
            </w:r>
          </w:p>
        </w:tc>
      </w:tr>
      <w:tr>
        <w:trPr/>
        <w:tc>
          <w:tcPr>
            <w:tcW w:w="37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Static</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1-12 Months</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13-24 Months</w:t>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2.79%</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4.64%</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(3.06)%</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(5.31)%</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(7.53)%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(5.44)%</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(10.60)%</w:t>
            </w:r>
          </w:p>
        </w:tc>
      </w:tr>
    </w:tbl>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rate shock results for the net interest income simulations for the next 24 months produce an asset sensitive position at March 31, 2026. The preceding measures assume no change in the size or asset/liability compositions of the balance sheet, and they do not reflect future actions the ALCO may undertake in response to such changes in interest rates.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scenarios assume instantaneous movements in interest rates in increments described in the table above. As interest rates are adjusted over time, it is our strategy to proactively change the volume and mix of our balance sheet in order to mitigate our interest rate risk. The computation of the prospective effects of hypothetical interest rate changes requires numerous assumptions, including asset prepayment speeds, the impact of competitive factors on our pricing of loans and deposits, the impact of market conditions on the securities yields and interest rates of our borrowings, how responsive our deposit repricing is to the change in market rates and the expected life of non-maturity deposits. These business assumptions are based upon our experience, business plans and published industry experience; however, such assumptions may not necessarily reflect the manner or timing in which cash flows, asset yields and liability costs respond to changes in market rates. Because these assumptions are inherently uncertain, actual results will differ from simulated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utilizes derivative financial instruments, including interest rate contracts such as swaps, collars, caps and/or floors, risk participations, forward commitments, and interest rate lock commitments, as part of its ongoing efforts to mitigate its interest rate risk exposure. For more information about the Company’s derivatives, see the information under the heading “Loan Commitments and Other Off-Balance Sheet Arrangements” in the Liquidity and Capital Resources section below and Note 9, “Derivative Instruments,” in the Notes to Consolidated Financial Statements of the Company in Item 1, Financial Statements. The next section also details our available sources of liquidity, both on and off-balance sheet.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Liquidity management is the ability to meet the cash flow requirements of customers who may be either depositors wishing to withdraw funds or borrowers needing assurance that sufficient funds will be available to meet their credit needs.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Core deposits, which are deposits excluding brokered deposits, are the major source of funds used by the Bank to meet cash flow needs. Maintaining the ability to acquire these funds as needed in a variety of markets is the key to assuring the Bank’s liquidity. We may also access the brokered deposit market where rates are favorable to other sources of liquidity (especially in light of collateral requirements for certain borrowings) and core deposits are not sufficient for meeting our current and anticipated short- or long-term liquidity needs. We did not hold any brokered deposits at March 31, 2026 or December 31, 2025. Management continually monitors the Bank’s liquidity and non-core dependency ratios to ensure compliance with targets established by the ALCO.</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investment portfolio is another alternative for meeting liquidity needs. These assets generally have readily available markets that offer conversions to cash as needed. Within the next twelve months the securities portfolio is forecasted to generate cash flow through principal payments and maturities equal to approximately 14.09% of the carrying value of the total securities portfolio. Securities within our investment portfolio are also used to secure certain deposit types, short-term borrowings and derivative instruments. At March 31, 2026, securities with a carrying value of $1,746,741 were pledged to secure government, public fund and trust deposits and as collateral for short-term borrowings and derivative instruments as compared to securities with a carrying value of $1,760,542 similarly pledged at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Other sources available for meeting liquidity needs include federal funds purchased, short and long-term advances from the FHLB and borrowings from the Federal Reserve Discount Window. Interest is charged at the prevailing market rate on federal funds purchased, FHLB advances and borrowings from the Federal Reserve Discount Window. There were $300,000 and $550,000 in short-term borrowings from the FHLB at March 31, 2026 and December 31, 2025, respectively. Long-term funds obtained from the FHLB are used to match-fund fixed rate loans in order to minimize interest rate risk and also are used to meet day-to-day liquidity needs, particularly when the cost of such borrowing compares favorably to the rates that we would be required to pay to attract deposits. There were no outstanding long-term advances with the FHLB at March 31, 2026 or December 31, 2025. The total amount of the remaining credit available to us from the FHLB at March 31, 2026 was $5,480,190. The credit available at the Federal Reserve Discount Window at March 31, 2026 was $706,245 with no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outstanding as of such date. We also maintain lines of credit with other commercial banks totaling $140,000. These are unsecured lines of credit with the majority maturing at various times within the next twelve months. There were no amounts outstanding under these lines of credit at March 31, 2026 or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Finally, we can access the capital markets to meet liquidity needs. The Company maintains a shelf registration statement with the SEC. The shelf registration statement, which was effective upon filing, allows the Company to raise capital from time to time through the sale of common stock, preferred stock, depositary shares, debt securities, rights, warrants and units, or a combination thereof, subject to market conditions. Specific terms and prices will be determined at the time of any offering under a separate prospectus supplement that the Company will file with the SEC at the time of the specific offering. The proceeds of the sale of securities, if and when offered, will be used for general corporate purposes or as otherwise described in the prospectus supplement applicable to the offering and could include the expansion of the Company’s banking and wealth management operations as well as other business opportunities. Our recently-completed $300,000 subordinated notes offering described above in Note 15, “Subsequent Events” in the Notes to Consolidated Financial Statements of the Company in Item 1, Financial Statements, and our common stock offering completed in July 2024 reflect our access of the capital markets as described in this paragraph. We have accessed the capital markets to generate liquidity in the form of subordinated notes in previous years, and we have also assumed subordinated notes as part of acquisitions. The carrying value of subordinated notes, net of unamortized debt issuance costs, was $359,434 at March 31,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further details on the Company’s funding sources, including total average deposits and borrowed funds by type, and the total cost of each funding source, see the “Results of Operations” section in this Item above.</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strategy in choosing funds is focused on minimizing cost in the context of our balance sheet composition, interest rate risk position and liquidity forecast. Accordingly, management targets growth of core deposits, focusing on noninterest-bearing deposits. While we do not control the types of deposit instruments our clients choose, we do influence those choices with the rates and the deposit specials we offer. We constantly monitor our funds position and evaluate the effect that various funding sources have on our financial position.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and cash equivalents were $1,216,980 at March 31, 2026, as compared to $1,091,339 at March 31, 2025. The increase is largely driven by the acquisition of $263,352 in cash and cash equivalents in connection with the merger with The First.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for the three months ended March 31, 2026 was $100,055, as compared to $50,098 for the three months ended March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three months ended March 31, 2026 was $232,856, as compared to $236,001 for the three months ended March 31, 2025. Proceeds from the sale, maturity or call of securities within our investment portfolio were $141,463 for the three months ended March 31, 2026, as compared to $56,789 for the same period in 2025. Purchases of investment securities were $378,991 during the first three months of 2026 and $175,815 for the same period in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for the three months ended March 31, 2026 was $279,063, as compared to $185,210 for the same period in 2025. Deposits increased $626,414 and $199,483 for the three months ended March 31, 2026 and 2025, respectively.</w:t>
      </w:r>
    </w:p>
    <w:p>
      <w:pPr>
        <w:pStyle w:val="TextBody"/>
        <w:bidi w:val="0"/>
        <w:spacing w:lineRule="auto" w:line="288" w:before="240" w:after="180"/>
        <w:jc w:val="both"/>
        <w:rPr>
          <w:rFonts w:ascii="Times New Roman;serif" w:hAnsi="Times New Roman;serif"/>
          <w:b w:val="false"/>
          <w:i/>
          <w:color w:val="000000"/>
          <w:sz w:val="20"/>
        </w:rPr>
      </w:pPr>
      <w:r>
        <w:rPr>
          <w:rFonts w:ascii="Times New Roman;serif" w:hAnsi="Times New Roman;serif"/>
          <w:b w:val="false"/>
          <w:i/>
          <w:color w:val="000000"/>
          <w:sz w:val="20"/>
        </w:rPr>
        <w:t>Restrictions on Bank Dividends, Loans and Advances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liquidity and capital resources, as well as its ability to pay dividends to its shareholders, are substantially dependent on the ability of Renasant Bank to transfer funds to the Company in the form of dividends, loans and advances. Under Mississippi law, a Mississippi bank may not pay dividends unless its earned surplus is in excess of three times capital stock. A Mississippi bank with earned surplus in excess of three times capital stock may pay a dividend, subject to the approval of the Mississippi Department of Banking and Consumer Finance (the “DBCF”), provided that, effective July 1, 2026, DBCF approval will not be required except under certain circumstances such as, for example, when the Bank is subject to a regulatory enforcement or corrective action or would be undercapitalized after giving effect to the proposed dividend. In addition, Federal Reserve regulations prohibit a member bank from paying a dividend without prior approval from the Federal Reserve if either (1) the total of all dividends declared during the calendar year, including the proposed dividend, exceeds the sum of the bank’s net income for the current year plus its retained net income of the prior two calendar years or (2) the dividend would exceed the bank’s undivided profits as reportable on its Reports of Condition and Income. In this latter scenario, Federal Reserve regulations also require that at least two-thirds of the bank’s shareholders approve the proposed dividend. Accordingly, the approval of the DBCF is (until July 1, 2026 and thereafter may be) required prior to the Bank paying dividends to the Company, and under certain circumstances Federal Reserve approval may also be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Federal Reserve regulations also limit the amount the Bank may loan to the Company unless such loans are collateralized by specific obligations. At March 31, 2026, the maximum amount available for transfer from the Bank to the Company in the form of loans was $292,638. The Company maintains a $3,000 line of credit collateralized by cash with the Bank. There were no amounts outstanding under this line of credit at March 31,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restrictions did not have any impact on the Company’s ability to meet its cash obligations in the three months ended March 31, 2026, nor does management expect such restrictions to materially impact the Company’s ability to meet its currently-anticipated cash obligations.</w:t>
      </w:r>
    </w:p>
    <w:p>
      <w:pPr>
        <w:pStyle w:val="TextBody"/>
        <w:bidi w:val="0"/>
        <w:spacing w:lineRule="auto" w:line="288" w:before="240" w:after="180"/>
        <w:jc w:val="both"/>
        <w:rPr>
          <w:rFonts w:ascii="Times New Roman;serif" w:hAnsi="Times New Roman;serif"/>
          <w:b w:val="false"/>
          <w:i/>
          <w:color w:val="000000"/>
          <w:sz w:val="20"/>
        </w:rPr>
      </w:pPr>
      <w:r>
        <w:rPr>
          <w:rFonts w:ascii="Times New Roman;serif" w:hAnsi="Times New Roman;serif"/>
          <w:b w:val="false"/>
          <w:i/>
          <w:color w:val="000000"/>
          <w:sz w:val="20"/>
        </w:rPr>
        <w:t>Loan Commitments and Other Off-Balance Sheet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enters into loan commitments and standby letters of credit in the normal course of its business. Loan commitments are made to accommodate the financial needs of the Company’s customers. Standby letters of credit commit the Company to make payments on behalf of customers when certain specified future events occur. Both arrangements have credit risk essentially the same as that involved in extending loans to customers and are subject to the Company’s normal credit policies, including establishing a provision for credit losses on unfunded commitments. Collateral (e.g., securities, receivables, inventory, equipment, etc.) is obtained based on management’s credit assessment of the customer.</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Loan commitments and standby letters of credit do not necessarily represent future cash requirements of the Company in that while the borrower has the ability to draw upon these commitments at any time, these commitments often expire without being drawn upon. The Company’s unfunded loan commitments and standby letters of credit outstanding were as follows as of the dates presented:</w:t>
      </w:r>
    </w:p>
    <w:tbl>
      <w:tblPr>
        <w:tblW w:w="4930" w:type="dxa"/>
        <w:jc w:val="left"/>
        <w:tblInd w:w="0" w:type="dxa"/>
        <w:tblLayout w:type="fixed"/>
        <w:tblCellMar>
          <w:top w:w="28" w:type="dxa"/>
          <w:left w:w="28" w:type="dxa"/>
          <w:bottom w:w="28" w:type="dxa"/>
          <w:right w:w="28" w:type="dxa"/>
        </w:tblCellMar>
      </w:tblPr>
      <w:tblGrid>
        <w:gridCol w:w="652"/>
        <w:gridCol w:w="572"/>
        <w:gridCol w:w="576"/>
        <w:gridCol w:w="210"/>
        <w:gridCol w:w="933"/>
        <w:gridCol w:w="116"/>
        <w:gridCol w:w="109"/>
        <w:gridCol w:w="109"/>
        <w:gridCol w:w="109"/>
        <w:gridCol w:w="248"/>
        <w:gridCol w:w="1102"/>
        <w:gridCol w:w="194"/>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commitments</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3,747,127 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3,662,810 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Standby letters of credit</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122,367 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closely monitors the amount of remaining future commitments to borrowers in light of prevailing economic conditions and adjusts these commitments and the provision related thereto as necessary; the Company also reviews these commitments as part of its analysis of loan concentrations within the loan portfolio. The Company will continue this process as new commitments are entered into or existing commitments are renewed. For additional information related to the allowance and provision for credit losses on unfunded loan commitments, refer to the “Risk Management” section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utilizes derivative financial instruments, including interest rate contracts such as swaps, collars, risk participations, caps and/or floors, as part of its ongoing efforts to mitigate its interest rate risk exposure and to facilitate the needs of its customers. The Company enters into derivative instruments that are not designated as hedging instruments to help its commercial customers manage their exposure to interest rate fluctuations. To mitigate the interest rate risk associated with these customer contracts, the Company enters into an offsetting derivative contract position with other financial institutions. The Company manages its credit risk, or potential risk of default by its commercial customers, through credit limit approval and monitoring procedures. At March 31, 2026, the Company had notional amounts of $1,858,019 on interest rate contracts with corporate customers and $1,858,019 in offsetting interest rate contracts with other financial institutions to mitigate the Company’s rate exposure on its corporate customers’ contracts and certain fixed rate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the Company enters into interest rate lock commitments with its customers to mitigate the interest rate risk associated with the commitments to fund fixed-rate and adjustable rate residential mortgage loans and also enters into forward commitments to sell residential mortgage loans to secondary market investors.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mitigate future interest rate exposure on its FHLB borrowings and its junior subordinated debentures the Company enters into interest rate swap contracts that are accounted for as cash flow hedges. Under each of these contracts, the Company pays a fixed rate of interest and receives a variable rate of interest. The Company entered into an interest rate swap contract on its subordinated notes that is accounted for as a fair value hedge. Under this contract, the Company pays a variable rate of interest and receives a fixed rate of interest. The Company utilizes interest rate collars to protect against interest rate fluctuations on certain variable-rate loans. Under these contracts, interest income is limited to the interest rate cap; however, interest income is protected when market rates fall below the floor strike rate.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more information about the Company’s derivatives, see Note 9, “Derivative Instruments,” in the Notes to Consolidated Financial Statements of the Company in Item 1, Financial Statements.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Shareholders’ Equity and Regulatory Matters</w:t>
      </w:r>
    </w:p>
    <w:tbl>
      <w:tblPr>
        <w:tblW w:w="9333" w:type="dxa"/>
        <w:jc w:val="left"/>
        <w:tblInd w:w="0" w:type="dxa"/>
        <w:tblLayout w:type="fixed"/>
        <w:tblCellMar>
          <w:top w:w="28" w:type="dxa"/>
          <w:left w:w="28" w:type="dxa"/>
          <w:bottom w:w="28" w:type="dxa"/>
          <w:right w:w="28" w:type="dxa"/>
        </w:tblCellMar>
      </w:tblPr>
      <w:tblGrid>
        <w:gridCol w:w="1293"/>
        <w:gridCol w:w="1135"/>
        <w:gridCol w:w="1141"/>
        <w:gridCol w:w="210"/>
        <w:gridCol w:w="933"/>
        <w:gridCol w:w="116"/>
        <w:gridCol w:w="109"/>
        <w:gridCol w:w="109"/>
        <w:gridCol w:w="109"/>
        <w:gridCol w:w="250"/>
        <w:gridCol w:w="1111"/>
        <w:gridCol w:w="139"/>
        <w:gridCol w:w="109"/>
        <w:gridCol w:w="109"/>
        <w:gridCol w:w="109"/>
        <w:gridCol w:w="196"/>
        <w:gridCol w:w="721"/>
        <w:gridCol w:w="109"/>
        <w:gridCol w:w="109"/>
        <w:gridCol w:w="109"/>
        <w:gridCol w:w="109"/>
        <w:gridCol w:w="233"/>
        <w:gridCol w:w="233"/>
        <w:gridCol w:w="532"/>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488,612 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488,612 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2,388,649 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2,392,997 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1,263,116 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1,196,522 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(89,732)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3,866,918 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3,884,905 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value per share</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decline in shareholders’ equity is attributable to share repurchases under the Company’s stock repurchase program, increases in accumulated other comprehensive loss and dividends declared, offset by current period earnings.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October 28, 2025, the Company’s Board of Directors approved a $150.0 million stock repurchase program under which the Company is authorized to repurchase outstanding shares of its common stock either in open market purchases or privately negotiated transactions. During the first quarter of 2026, the Company repurchased 1,917,611 shares under the program at an average price of $39.53 per share. Effective April 28, 2026, the Company’s Board of Directors increased the amount authorized for repurchase under the Company’s stock repurchase program by $100.0 million (for a new aggregate authorization of $250.0 million). This plan will remain in effect until the earlier of October 2026 or the repurchase of the entire amount authorized under the plan. With this increase, as of April 28, 2026, approximately $136.8 million in repurchase authorization remains available under the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junior subordinated debentures with a carrying value of $140,908 at March 31, 2026, of which $136,512 was included in the Company’s Tier 2 capital.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subordinated notes with a par value of $373,400 at March 31, 2026, of which $359,434 is included in the Company’s Tier 2 capital.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Federal Reserve, the FDIC and the Office of the Comptroller of the Currency have issued guidelines governing the levels of capital that bank holding companies and banks must maintain. Those guidelines specify capital tiers, which include the following classifications:</w:t>
      </w:r>
    </w:p>
    <w:tbl>
      <w:tblPr>
        <w:tblW w:w="9112" w:type="dxa"/>
        <w:jc w:val="left"/>
        <w:tblInd w:w="0" w:type="dxa"/>
        <w:tblLayout w:type="fixed"/>
        <w:tblCellMar>
          <w:top w:w="28" w:type="dxa"/>
          <w:left w:w="28" w:type="dxa"/>
          <w:bottom w:w="28" w:type="dxa"/>
          <w:right w:w="28" w:type="dxa"/>
        </w:tblCellMar>
      </w:tblPr>
      <w:tblGrid>
        <w:gridCol w:w="798"/>
        <w:gridCol w:w="700"/>
        <w:gridCol w:w="706"/>
        <w:gridCol w:w="440"/>
        <w:gridCol w:w="440"/>
        <w:gridCol w:w="441"/>
        <w:gridCol w:w="109"/>
        <w:gridCol w:w="109"/>
        <w:gridCol w:w="109"/>
        <w:gridCol w:w="654"/>
        <w:gridCol w:w="654"/>
        <w:gridCol w:w="656"/>
        <w:gridCol w:w="109"/>
        <w:gridCol w:w="109"/>
        <w:gridCol w:w="109"/>
        <w:gridCol w:w="440"/>
        <w:gridCol w:w="440"/>
        <w:gridCol w:w="441"/>
        <w:gridCol w:w="109"/>
        <w:gridCol w:w="109"/>
        <w:gridCol w:w="109"/>
        <w:gridCol w:w="387"/>
        <w:gridCol w:w="387"/>
        <w:gridCol w:w="547"/>
      </w:tblGrid>
      <w:tr>
        <w:trPr/>
        <w:tc>
          <w:tcPr>
            <w:tcW w:w="7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Capital Tiers</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Tier 1 Capital to</w:t>
              <w:br/>
              <w:t>Average Assets</w:t>
              <w:br/>
              <w:t>(Leverage)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Equity Tier 1 to</w:t>
              <w:br/>
              <w:t>Risk - Weighted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Tier 1 Capital to</w:t>
              <w:br/>
              <w:t>Risk - Weighted</w:t>
              <w:br/>
              <w:t>Assets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Capital to</w:t>
              <w:br/>
              <w:t>Risk - Weighted</w:t>
              <w:br/>
              <w:t>Assets</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Well capitalized</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 or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 or above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 or above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 or above</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Adequately capitalized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 or above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 or above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 or above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 or above</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Undercapitalized</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Less than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Less than 4.5%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Less than 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Less than 8%</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Significantly undercapitalized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Less than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Less than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Less than 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Less than 6%</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Critically undercapitalized</w:t>
            </w:r>
          </w:p>
        </w:tc>
        <w:tc>
          <w:tcPr>
            <w:tcW w:w="6908"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Tangible Equity / Total Assets less than 2%</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capital, risk-based capital and leverage ratios for the Company and for Renasant Bank as of the dates presented:</w:t>
      </w:r>
    </w:p>
    <w:tbl>
      <w:tblPr>
        <w:tblW w:w="10205" w:type="dxa"/>
        <w:jc w:val="left"/>
        <w:tblInd w:w="0" w:type="dxa"/>
        <w:tblLayout w:type="fixed"/>
        <w:tblCellMar>
          <w:top w:w="28" w:type="dxa"/>
          <w:left w:w="28" w:type="dxa"/>
          <w:bottom w:w="28" w:type="dxa"/>
          <w:right w:w="28" w:type="dxa"/>
        </w:tblCellMar>
      </w:tblPr>
      <w:tblGrid>
        <w:gridCol w:w="696"/>
        <w:gridCol w:w="571"/>
        <w:gridCol w:w="452"/>
        <w:gridCol w:w="196"/>
        <w:gridCol w:w="871"/>
        <w:gridCol w:w="109"/>
        <w:gridCol w:w="109"/>
        <w:gridCol w:w="109"/>
        <w:gridCol w:w="109"/>
        <w:gridCol w:w="278"/>
        <w:gridCol w:w="278"/>
        <w:gridCol w:w="277"/>
        <w:gridCol w:w="109"/>
        <w:gridCol w:w="109"/>
        <w:gridCol w:w="109"/>
        <w:gridCol w:w="196"/>
        <w:gridCol w:w="871"/>
        <w:gridCol w:w="109"/>
        <w:gridCol w:w="109"/>
        <w:gridCol w:w="109"/>
        <w:gridCol w:w="109"/>
        <w:gridCol w:w="278"/>
        <w:gridCol w:w="278"/>
        <w:gridCol w:w="277"/>
        <w:gridCol w:w="109"/>
        <w:gridCol w:w="109"/>
        <w:gridCol w:w="109"/>
        <w:gridCol w:w="282"/>
        <w:gridCol w:w="1256"/>
        <w:gridCol w:w="157"/>
        <w:gridCol w:w="157"/>
        <w:gridCol w:w="157"/>
        <w:gridCol w:w="157"/>
        <w:gridCol w:w="317"/>
        <w:gridCol w:w="239"/>
        <w:gridCol w:w="438"/>
      </w:tblGrid>
      <w:tr>
        <w:trPr/>
        <w:tc>
          <w:tcPr>
            <w:tcW w:w="6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Capital</w:t>
              <w:br/>
              <w:t>Requirement to be</w:t>
              <w:br/>
              <w:t>Well Capitalized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Capital</w:t>
              <w:br/>
              <w:t>Requirement to be</w:t>
              <w:br/>
              <w:t>Adequately</w:t>
              <w:br/>
              <w:t>Capitalized (including the Capital Conservation Buffer)</w:t>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Renasant Corporation: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Risk-based capital ratios: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ratio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1,510,174 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risk-based capital ratio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1,833,783 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 ratio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2,265,261 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Leverage capital ratios: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 ratio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Renasant Bank:</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Risk-based capital ratios: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ratio</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1,509,711 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risk-based capital ratio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1,833,221 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 ratio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2,264,567 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Leverage capital ratios: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 ratio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1,014,425 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Renasant Corporation: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Risk-based capital ratios: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ratio</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1,510,543 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risk-based capital ratio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1,834,231 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 ratio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2,265,815 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Leverage capital ratios: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 ratio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1,008,931 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Renasant Bank:</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Risk-based capital ratios: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capital ratio</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1,511,389 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4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risk-based capital ratio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1,835,258 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 ratio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2,267,083 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Leverage capital ratios: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leverage ratio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2,590,284 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1,008,325 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elected to take advantage of transitional relief offered by the Federal Reserve and FDIC to delay for two years the estimated impact of CECL on regulatory capital, followed by a three-year transitional period to phase out the capital benefit provided by the two-year delay. The three-year transitional period began on January 1, 2022; the full impact of CECL is reflected in our capital ratios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We have identified certain accounting estimates that involve significant judgment and estimates which can have a material impact on our financial condition or results of operations. Our accounting policies are more fully described in Note 1, “Significant Accounting Policies,” in the Notes to Consolidated Financial Statements of the Company in Item 8, Financial Statements and Supplementary Data, in our Annual Report on Form 10-K for the year ended December 31, 2025. Actual amounts and values as of the balance sheet dates may be materially different from the amounts and values reported due to the inherent uncertainty in the estimation process. Also, future amounts and values could differ materially from those estimates due to changes in values and circumstances after the balance sheet date.</w: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The accounting estimates that we believe to be the most critical in preparing our consolidated financial statements relate to the allowance for credit losses and acquisition accounting, which are described under “Critical Accounting Policies and Estimates” in Item 7, Management's Discussion and Analysis of Financial Condition and Results of Operations, in our Annual Report on Form 10-K for the year ended December 31, 2025. Since December 31, 2025, there have been no material changes in these critical accounting estimates.</w:t>
      </w:r>
    </w:p>
    <w:p>
      <w:pPr>
        <w:pStyle w:val="TextBody"/>
        <w:bidi w:val="0"/>
        <w:spacing w:before="10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Company’s primary market risk exposure is to changes in interest rates. Interest rate risk is managed as part of the Company’s broader risk management practices. See the information under the heading “Interest Rate Risk” in the “Risk Management” section of Item 2, Management’s Discussion and Analysis of Financial Condition and Results of Operations, of this report for a description of the Company’s governance structure and risk management processes. There have been no material changes in or market risk since December 31, 2025. For additional information regarding our market risk, see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their evaluation as of the end of the period covered by this quarterly report on Form 10-Q, our Principal Executive Officer and Principal Financial Officer have concluded that due to the material weakness in the Company's internal control over financial reporting below, our disclosure controls and procedures (as defined in Rules 13a-15(e) and 15d-15(e) under the Securities Exchange Act of 1934, as amended) are not effective for ensuring that information the Company is required to disclose in reports that it files or submits under the Securities Exchange Act of 1934, as amended, is recorded, processed, summarized and reported within the time periods specified in the Securities and Exchange Commission’s rules and forms and that such information is accumulated and communicated to the Company’s management, including its Principal Executive and Principal Financial Officers, as appropriate to allow timely decisions regarding required disclosure. </w:t>
      </w:r>
    </w:p>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Other than as described below in regards to our remediation of the material weakness identified in our Annual Report on Form 10-K for the fiscal year ended December 31, 2025, no changes have occurred in our internal control over financial reporting (as such term is defined in Rules 13a-15(f) and 15d-15(f) under the Exchange Act) during the period covered by this Quarterly Report on Form 10-Q that have materially affected, or are reasonably likely to materially affect, the Company’s internal control over financial reporting.</w:t>
      </w:r>
    </w:p>
    <w:p>
      <w:pPr>
        <w:pStyle w:val="TextBody"/>
        <w:bidi w:val="0"/>
        <w:spacing w:lineRule="auto" w:line="288" w:before="100" w:after="180"/>
        <w:jc w:val="both"/>
        <w:rPr>
          <w:rFonts w:ascii="Times New Roman;serif" w:hAnsi="Times New Roman;serif"/>
          <w:b w:val="false"/>
          <w:i/>
          <w:color w:val="000000"/>
          <w:sz w:val="20"/>
        </w:rPr>
      </w:pPr>
      <w:r>
        <w:rPr>
          <w:rFonts w:ascii="Times New Roman;serif" w:hAnsi="Times New Roman;serif"/>
          <w:b w:val="false"/>
          <w:i/>
          <w:color w:val="000000"/>
          <w:sz w:val="20"/>
        </w:rPr>
        <w:t>Previously Identified Material Weakness</w:t>
      </w:r>
    </w:p>
    <w:p>
      <w:pPr>
        <w:pStyle w:val="TextBody"/>
        <w:bidi w:val="0"/>
        <w:spacing w:lineRule="auto" w:line="288" w:before="10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assessment of the effectiveness of the Company’s internal control over financial reporting as of December 31, 2025, as described in our Annual Report on Form 10-K, management concluded that the Company did not maintain effective internal control over financial reporting as of December 31, 2025 due to a material weakness related to the manual journal entry process impacting the Company’s general ledger accounts. We determined that, for a subset of journal entries that are manually entered into the Company’s general ledger, we failed to maintain effective segregation of duties. With respect to this subset of manual journal entries, it was possible for an individual to record an entry into our general ledger without prior approval.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stated in our Annual Report on Form 10-K for the fiscal year ended December 31, 2025, management concluded that the existence of this material weakness did not result in any material misstatement to any of the Company’s previously issued consolidated financial statements related to these control deficiencies.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Remediation of Material Weakness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noted above, the underlying cause of the above described material weakness was a failure to maintain effective segregation of duties for a subset of journal entries manually entered into the Company’s general ledger. To address this weakness, in the first quarter of 2026, the Company implemented the following new control procedures: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reduced the number of individuals with access to the Company’s general ledger on our core system. Following this change, only a limited number of individuals within the Company’s Finance Department retain the access necessary to effect such manual entries, which we believe reduces the likelihood that a journal entry would be manually entered without the required approval (as detailed in the next bullet).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We implemented new supervision and review processes for journal entries manually entered directly into the Company’s general ledger on our core system: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Under the new process, before a manually-entered journal entry can be posted to the Company’s general ledger, a separate individual must approve the proposed journal entry. The processes also require that individuals performing the reviews have sufficient knowledge and experience in the relevant subject areas and are, therefore, qualified to perform such reviews.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To ensure the new process is properly executed, a member of the Company’s financial reporting staff routinely reviews a report of manual journal entries posted to our general ledger to ensure the entries were properly supported and approved prior to entry.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When evaluating the risk of an investment in the Company’s common stock, potential investors should carefully consider the risk factors appearing in Part I, Item 1A, Risk Factors, of the Company’s Annual Report on Form 10-K for the year ended December 31, 2025. There have been no material changes from the risk factors set forth in our Annual Report on Form 10-K.</w:t>
      </w:r>
    </w:p>
    <w:p>
      <w:pPr>
        <w:pStyle w:val="TextBody"/>
        <w:bidi w:val="0"/>
        <w:spacing w:before="10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 period ended March 31, 2026, the Company repurchased shares of its common stock as indicated in the following table:</w:t>
      </w:r>
    </w:p>
    <w:tbl>
      <w:tblPr>
        <w:tblW w:w="10205" w:type="dxa"/>
        <w:jc w:val="center"/>
        <w:tblInd w:w="0" w:type="dxa"/>
        <w:tblLayout w:type="fixed"/>
        <w:tblCellMar>
          <w:top w:w="28" w:type="dxa"/>
          <w:left w:w="28" w:type="dxa"/>
          <w:bottom w:w="28" w:type="dxa"/>
          <w:right w:w="28" w:type="dxa"/>
        </w:tblCellMar>
      </w:tblPr>
      <w:tblGrid>
        <w:gridCol w:w="480"/>
        <w:gridCol w:w="354"/>
        <w:gridCol w:w="355"/>
        <w:gridCol w:w="109"/>
        <w:gridCol w:w="109"/>
        <w:gridCol w:w="109"/>
        <w:gridCol w:w="695"/>
        <w:gridCol w:w="451"/>
        <w:gridCol w:w="452"/>
        <w:gridCol w:w="109"/>
        <w:gridCol w:w="109"/>
        <w:gridCol w:w="109"/>
        <w:gridCol w:w="266"/>
        <w:gridCol w:w="778"/>
        <w:gridCol w:w="137"/>
        <w:gridCol w:w="109"/>
        <w:gridCol w:w="109"/>
        <w:gridCol w:w="109"/>
        <w:gridCol w:w="905"/>
        <w:gridCol w:w="695"/>
        <w:gridCol w:w="697"/>
        <w:gridCol w:w="109"/>
        <w:gridCol w:w="109"/>
        <w:gridCol w:w="109"/>
        <w:gridCol w:w="465"/>
        <w:gridCol w:w="1819"/>
        <w:gridCol w:w="348"/>
      </w:tblGrid>
      <w:tr>
        <w:trPr/>
        <w:tc>
          <w:tcPr>
            <w:tcW w:w="48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as Part of Publicly Announced Share Repurchase Plans</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Maximum Number or Approximate Dollar Value of Shares That May Yet Be Purchased Under Share Repurchase Plans</w:t>
            </w:r>
            <w:r>
              <w:rPr>
                <w:rFonts w:ascii="Times New Roman;serif" w:hAnsi="Times New Roman;serif"/>
                <w:b/>
                <w:color w:val="000000"/>
                <w:sz w:val="13"/>
              </w:rPr>
              <w:t>(2)(3)</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to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60,198 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136,807 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to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1,070,237 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1,068,395 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94,405 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to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910,865 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849,216 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2,041,300 </w:t>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1,917,611 </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shares in this column not purchased as part of a publicly-announced share repurchase plan (as detailed in footnote (2) below) are shares of Renasant Corporation stock withheld to satisfy the federal and state tax liabilities related to the vesting of time-based and performance-based restricted stock awards.</w:t>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Company announced a $150.0 million stock repurchase program in October 2025 under which the Company was authorized to repurchase outstanding shares of its common stock either in open market purchases or privately-negotiated transactions. During the first quarter of 2026, the Company repurchased 1,917,611 shares under the program. Effective April 28, 2026, the Company’s Board of Directors increased the amount authorized for repurchase under the Company’s stock repurchase program by $100.0 million (for a new aggregate authorization of $250.0 million). This program will remain in effect through October 2026 or, if earlier, the repurchase of the entire amount of common stock authorized to be repurchased.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(3)Dollars in thousands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Please refer to the information discussing restrictions on the Company’s ability to pay dividends under the heading “Liquidity and Capital Resources” in Part I, Item 2, Management’s Discussion and Analysis of Financial Condition and Results of Operations, of this report, which is incorporated by reference herein.</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Trading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 director or officer (as defined in Rule 16a-1(f) under the Securities Exchange Act of 1934, as amended) adopted or terminated any “Rule 10b5-1 trading arrangement” or “non-Rule 10b5-1 trading arrangement” (each as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782"/>
        <w:gridCol w:w="2649"/>
        <w:gridCol w:w="3756"/>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56"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Restated Articles of Incorporation of Renasant Corporation</w:t>
              </w:r>
            </w:hyperlink>
            <w:hyperlink r:id="rId3">
              <w:r>
                <w:rPr>
                  <w:rStyle w:val="InternetLink"/>
                  <w:rFonts w:ascii="Times New Roman;serif" w:hAnsi="Times New Roman;serif"/>
                  <w:b w:val="false"/>
                  <w:color w:val="0000FF"/>
                  <w:sz w:val="13"/>
                  <w:u w:val="single"/>
                </w:rPr>
                <w:t>(1)</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Renasant Corporation</w:t>
              </w:r>
            </w:hyperlink>
            <w:hyperlink r:id="rId5">
              <w:r>
                <w:rPr>
                  <w:rStyle w:val="InternetLink"/>
                  <w:rFonts w:ascii="Times New Roman;serif" w:hAnsi="Times New Roman;serif"/>
                  <w:b w:val="false"/>
                  <w:color w:val="0000FF"/>
                  <w:sz w:val="13"/>
                  <w:u w:val="single"/>
                </w:rPr>
                <w:t>(2)</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1-fifthsupplementa.htm">
              <w:r>
                <w:rPr>
                  <w:rStyle w:val="InternetLink"/>
                  <w:rFonts w:ascii="Times New Roman;serif" w:hAnsi="Times New Roman;serif"/>
                  <w:b w:val="false"/>
                  <w:color w:val="0000FF"/>
                  <w:sz w:val="20"/>
                  <w:u w:val="single"/>
                </w:rPr>
                <w:t xml:space="preserve">Fifth Supplemental Indenture dated May 7, 2026, between Renasant Corporation and Wilmington Trust, National Association. </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1-fifthsupplementa.htm">
              <w:r>
                <w:rPr>
                  <w:rStyle w:val="InternetLink"/>
                  <w:rFonts w:ascii="Times New Roman;serif" w:hAnsi="Times New Roman;serif"/>
                  <w:b w:val="false"/>
                  <w:color w:val="0000FF"/>
                  <w:sz w:val="20"/>
                  <w:u w:val="single"/>
                </w:rPr>
                <w:t>Form of 6.25% Fixed-to-Floating Rate Subordinated Note due 2036 (included in exhibit 4.1).</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101-amdtno1toemployment.htm">
              <w:r>
                <w:rPr>
                  <w:rStyle w:val="InternetLink"/>
                  <w:rFonts w:ascii="Times New Roman;serif" w:hAnsi="Times New Roman;serif"/>
                  <w:b w:val="false"/>
                  <w:color w:val="000080"/>
                  <w:sz w:val="20"/>
                  <w:u w:val="single"/>
                </w:rPr>
                <w:t>First Amendment to Employment Agreement effective March 11, 2026 by and between M. Ray</w:t>
              </w:r>
            </w:hyperlink>
            <w:hyperlink w:anchor="exh101-amdtno1toemployment.htm">
              <w:r>
                <w:rPr>
                  <w:rStyle w:val="InternetLink"/>
                  <w:rFonts w:ascii="Times New Roman;serif" w:hAnsi="Times New Roman;serif"/>
                  <w:b w:val="false"/>
                  <w:color w:val="000080"/>
                  <w:sz w:val="20"/>
                  <w:u w:val="single"/>
                </w:rPr>
                <w:t xml:space="preserve"> </w:t>
              </w:r>
            </w:hyperlink>
            <w:hyperlink w:anchor="exh101-amdtno1toemployment.htm">
              <w:r>
                <w:rPr>
                  <w:rStyle w:val="InternetLink"/>
                  <w:rFonts w:ascii="Times New Roman;serif" w:hAnsi="Times New Roman;serif"/>
                  <w:b w:val="false"/>
                  <w:color w:val="000080"/>
                  <w:sz w:val="20"/>
                  <w:u w:val="single"/>
                </w:rPr>
                <w:t>(Hoppy) Cole, Jr. and Renasant Bank</w:t>
              </w:r>
            </w:hyperlink>
            <w:r>
              <w:rPr>
                <w:rFonts w:ascii="Times New Roman;serif" w:hAnsi="Times New Roman;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nst3312026ex311.htm">
              <w:r>
                <w:rPr>
                  <w:rStyle w:val="InternetLink"/>
                  <w:rFonts w:ascii="Times New Roman;serif" w:hAnsi="Times New Roman;serif"/>
                  <w:b w:val="false"/>
                  <w:color w:val="0000FF"/>
                  <w:sz w:val="20"/>
                  <w:u w:val="single"/>
                </w:rPr>
                <w:t>Certification of the Principal Financial Officer, as required pursuant to Section 302 of the Sarbanes-Oxley Act of 2002.</w:t>
              </w:r>
            </w:hyperlink>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nst3312026ex312.htm">
              <w:r>
                <w:rPr>
                  <w:rStyle w:val="InternetLink"/>
                  <w:rFonts w:ascii="Times New Roman;serif" w:hAnsi="Times New Roman;serif"/>
                  <w:b w:val="false"/>
                  <w:color w:val="0000FF"/>
                  <w:sz w:val="20"/>
                  <w:u w:val="single"/>
                </w:rPr>
                <w:t>Certification of the Principal Financial Officer, as required pursuant to Section 302 of the Sarbanes-Oxley Act of 2002.</w:t>
              </w:r>
            </w:hyperlink>
          </w:p>
          <w:p>
            <w:pPr>
              <w:pStyle w:val="TableContents"/>
              <w:bidi w:val="0"/>
              <w:spacing w:before="0" w:after="0"/>
              <w:jc w:val="left"/>
              <w:rPr/>
            </w:pPr>
            <w:r>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nst3312026ex321.htm">
              <w:r>
                <w:rPr>
                  <w:rStyle w:val="InternetLink"/>
                  <w:rFonts w:ascii="Times New Roman;serif" w:hAnsi="Times New Roman;serif"/>
                  <w:b w:val="false"/>
                  <w:color w:val="0000FF"/>
                  <w:sz w:val="20"/>
                  <w:u w:val="single"/>
                </w:rPr>
                <w:t>Certification of the Principal Executive Officer, as required pursuant to Section 906 of the Sarbanes-Oxley Act of 2002.</w:t>
              </w:r>
            </w:hyperlink>
          </w:p>
          <w:p>
            <w:pPr>
              <w:pStyle w:val="TableContents"/>
              <w:bidi w:val="0"/>
              <w:spacing w:before="0" w:after="0"/>
              <w:jc w:val="left"/>
              <w:rPr/>
            </w:pPr>
            <w:r>
              <w:rPr/>
            </w:r>
          </w:p>
          <w:p>
            <w:pPr>
              <w:pStyle w:val="TableContents"/>
              <w:bidi w:val="0"/>
              <w:spacing w:before="0" w:after="0"/>
              <w:jc w:val="left"/>
              <w:rPr/>
            </w:pPr>
            <w:r>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nst3312026ex322.htm">
              <w:r>
                <w:rPr>
                  <w:rStyle w:val="InternetLink"/>
                  <w:rFonts w:ascii="Times New Roman;serif" w:hAnsi="Times New Roman;serif"/>
                  <w:b w:val="false"/>
                  <w:color w:val="0000FF"/>
                  <w:sz w:val="20"/>
                  <w:u w:val="single"/>
                </w:rPr>
                <w:t>Certification of the Principal Financial Officer, as required pursuant to Section 906 of the Sarbanes-Oxley Act of 2002.</w:t>
              </w:r>
            </w:hyperlink>
          </w:p>
          <w:p>
            <w:pPr>
              <w:pStyle w:val="TableContents"/>
              <w:bidi w:val="0"/>
              <w:spacing w:before="0" w:after="0"/>
              <w:jc w:val="left"/>
              <w:rPr/>
            </w:pPr>
            <w:r>
              <w:rPr/>
            </w:r>
          </w:p>
          <w:p>
            <w:pPr>
              <w:pStyle w:val="TableContents"/>
              <w:bidi w:val="0"/>
              <w:spacing w:before="0" w:after="0"/>
              <w:jc w:val="left"/>
              <w:rPr/>
            </w:pPr>
            <w:r>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Renasant Corporation’s Quarterly Report on Form 10-Q for the quarter ended March 31, 2026 were formatted in Inline XBRL (eXtensible Business Reporting Language): (i) Consolidated Balance Sheets, (ii) Consolidated Statements of Income, (iii) Consolidated Statements of Comprehensive Income, (iv) Consolidated Statements of Changes in Shareholders’ Equity, (v) Consolidated Statements of Cash Flows and (vi) Notes to Consolidated Financial Statements (Unaudited).</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Renasant Corporation’s Quarterly Report on Form 10-Q for the quarter ended March 31, 2026, formatted in Inline XBRL (included in Exhibit 101).</w:t>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(1)Filed as exhibit 3.1 to the Form 10-Q of the Company filed with the Securities and Exchange Commission (the “Commission”) on August 6, 2025, and incorporated herein by reference.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(2)Filed as exhibit 3(ii) to the Form 8-K of the Company filed with the Commission on May 1, 2026, and incorporated herein by reference.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long-term debt instruments under which securities are authorized exceeding ten percent of the total assets of the Company and its subsidiaries on a consolidated basis. The Company will furnish to the Commission, upon its request, a copy of all long-term debt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ab8011207f9495f8b49aa9e8b65f39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90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940"/>
        <w:gridCol w:w="940"/>
        <w:gridCol w:w="13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RENASANT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Chapman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Chapman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Mabry IV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Mabry IV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RENASANT CORPORATION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FIFTH SUPPLEMENTAL INDENTURE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dated as of May 7,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the Subordinated Indenture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dated as of August 22, 2016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6.25% Fixed-to-Floating Rate Subordinated Notes due 2036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Wilmington Trust, National Association, as Trustee</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FIFTH SUPPLEMENTAL INDENTURE</w:t>
      </w:r>
    </w:p>
    <w:p>
      <w:pPr>
        <w:pStyle w:val="TextBody"/>
        <w:bidi w:val="0"/>
        <w:spacing w:lineRule="auto" w:line="288" w:before="0" w:after="240"/>
        <w:ind w:left="0" w:right="0" w:firstLine="720"/>
        <w:jc w:val="left"/>
        <w:rPr/>
      </w:pPr>
      <w:r>
        <w:rPr>
          <w:rFonts w:ascii="Times New Roman;serif" w:hAnsi="Times New Roman;serif"/>
          <w:b w:val="false"/>
          <w:color w:val="000000"/>
          <w:sz w:val="22"/>
        </w:rPr>
        <w:t>THIS FIFTH SUPPLEMENTAL INDENTURE (“</w:t>
      </w:r>
      <w:r>
        <w:rPr>
          <w:rFonts w:ascii="Times New Roman;serif" w:hAnsi="Times New Roman;serif"/>
          <w:b/>
          <w:color w:val="000000"/>
          <w:sz w:val="22"/>
        </w:rPr>
        <w:t>Fifth Supplemental Indenture</w:t>
      </w:r>
      <w:r>
        <w:rPr>
          <w:color w:val="000000"/>
        </w:rPr>
        <w:t>”</w:t>
      </w:r>
      <w:r>
        <w:rPr>
          <w:rFonts w:ascii="Times New Roman;serif" w:hAnsi="Times New Roman;serif"/>
          <w:b w:val="false"/>
          <w:color w:val="000000"/>
          <w:sz w:val="22"/>
        </w:rPr>
        <w:t>), dated as of May 7, 2026, is made by and between Renasant Corporation, a Mississippi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and Wilmington Trust, National Association, a national banking association, not in its individual capacity but solely as trustee (“</w:t>
      </w:r>
      <w:r>
        <w:rPr>
          <w:rFonts w:ascii="Times New Roman;serif" w:hAnsi="Times New Roman;serif"/>
          <w:b/>
          <w:color w:val="000000"/>
          <w:sz w:val="22"/>
        </w:rPr>
        <w:t>Trustee</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Company and the Trustee have executed and delivered a Subordinated Indenture, dated as of August 22, 2016 (the “</w:t>
      </w:r>
      <w:r>
        <w:rPr>
          <w:rFonts w:ascii="Times New Roman;serif" w:hAnsi="Times New Roman;serif"/>
          <w:b/>
          <w:color w:val="000000"/>
          <w:sz w:val="22"/>
        </w:rPr>
        <w:t>Base Indenture</w:t>
      </w:r>
      <w:r>
        <w:rPr>
          <w:color w:val="000000"/>
        </w:rPr>
        <w:t xml:space="preserve">” </w:t>
      </w:r>
      <w:r>
        <w:rPr>
          <w:rFonts w:ascii="Times New Roman;serif" w:hAnsi="Times New Roman;serif"/>
          <w:b w:val="false"/>
          <w:color w:val="000000"/>
          <w:sz w:val="22"/>
        </w:rPr>
        <w:t>and as supplemented by the First Supplemental Indenture, dated as of August 22, 2016 between the Company and the Trustee, by the Second Supplemental Indenture, dated as of August 22, 2016 between the Company and the Trustee, by the Third Supplemental Indenture, dated as of September 3, 2020 between the Company and the Trustee, by the First Amendment to the Third Supplemental Indenture, dated as of November 24, 2021, between the Company and the Trustee, by the Fourth Supplemental Indenture, dated as of November 23, 2021 between the Company and the Trustee and by this Fifth Supplemental Indenture, and as further supplemented from time to time, the “</w:t>
      </w:r>
      <w:r>
        <w:rPr>
          <w:rFonts w:ascii="Times New Roman;serif" w:hAnsi="Times New Roman;serif"/>
          <w:b/>
          <w:color w:val="000000"/>
          <w:sz w:val="22"/>
        </w:rPr>
        <w:t>Indenture</w:t>
      </w:r>
      <w:r>
        <w:rPr>
          <w:color w:val="000000"/>
        </w:rPr>
        <w:t>”</w:t>
      </w:r>
      <w:r>
        <w:rPr>
          <w:rFonts w:ascii="Times New Roman;serif" w:hAnsi="Times New Roman;serif"/>
          <w:b w:val="false"/>
          <w:color w:val="000000"/>
          <w:sz w:val="22"/>
        </w:rPr>
        <w:t>), to provide for the issuance from time to time by the Company of its unsecured subordinated indebtedness to be issued in one or more series as provided in the Indenture;</w:t>
      </w:r>
    </w:p>
    <w:p>
      <w:pPr>
        <w:pStyle w:val="TextBody"/>
        <w:bidi w:val="0"/>
        <w:spacing w:lineRule="auto" w:line="288" w:before="0" w:after="240"/>
        <w:ind w:left="0" w:right="0" w:firstLine="720"/>
        <w:jc w:val="left"/>
        <w:rPr/>
      </w:pPr>
      <w:r>
        <w:rPr>
          <w:rFonts w:ascii="Times New Roman;serif" w:hAnsi="Times New Roman;serif"/>
          <w:b/>
          <w:color w:val="000000"/>
          <w:sz w:val="22"/>
        </w:rPr>
        <w:t>WHEREAS,</w:t>
      </w:r>
      <w:r>
        <w:rPr>
          <w:color w:val="000000"/>
        </w:rPr>
        <w:t xml:space="preserve"> </w:t>
      </w:r>
      <w:r>
        <w:rPr>
          <w:rFonts w:ascii="Times New Roman;serif" w:hAnsi="Times New Roman;serif"/>
          <w:b w:val="false"/>
          <w:color w:val="000000"/>
          <w:sz w:val="22"/>
        </w:rPr>
        <w:t>Section 9.1(j) of the Base Indenture provides that the Company and the Trustee may, without the consent of any Holder, enter into a supplemental indenture to</w:t>
      </w:r>
      <w:r>
        <w:rPr>
          <w:color w:val="000000"/>
        </w:rPr>
        <w:t xml:space="preserve"> </w:t>
      </w:r>
      <w:r>
        <w:rPr>
          <w:rFonts w:ascii="Times New Roman;serif" w:hAnsi="Times New Roman;serif"/>
          <w:b w:val="false"/>
          <w:color w:val="000000"/>
          <w:sz w:val="22"/>
        </w:rPr>
        <w:t>provide for the issuance of and establish the form or terms of Securities of any Series as permitted by Sections 2.1 and 2.2 thereof;</w:t>
      </w:r>
    </w:p>
    <w:p>
      <w:pPr>
        <w:pStyle w:val="TextBody"/>
        <w:bidi w:val="0"/>
        <w:spacing w:lineRule="auto" w:line="288"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issuance and sale of Three Hundred Million Dollars ($300,000,000) aggregate principal amount of a new series of Securities of the Company designated as its 6.25% Fixed-to-Floating Rate Subordinated Notes due 2036 (the “</w:t>
      </w:r>
      <w:r>
        <w:rPr>
          <w:rFonts w:ascii="Times New Roman;serif" w:hAnsi="Times New Roman;serif"/>
          <w:b/>
          <w:color w:val="000000"/>
          <w:sz w:val="22"/>
        </w:rPr>
        <w:t>2036 Notes</w:t>
      </w:r>
      <w:r>
        <w:rPr>
          <w:color w:val="000000"/>
        </w:rPr>
        <w:t>”</w:t>
      </w:r>
      <w:r>
        <w:rPr>
          <w:rFonts w:ascii="Times New Roman;serif" w:hAnsi="Times New Roman;serif"/>
          <w:b w:val="false"/>
          <w:color w:val="000000"/>
          <w:sz w:val="22"/>
        </w:rPr>
        <w:t>) have been authorized by resolutions adopted by the Board of Directors of the Company;</w:t>
      </w:r>
    </w:p>
    <w:p>
      <w:pPr>
        <w:pStyle w:val="TextBody"/>
        <w:bidi w:val="0"/>
        <w:spacing w:lineRule="auto" w:line="288"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Company desires to issue and sell Three Hundred Million Dollars ($300,000,000) aggregate principal amount of the 2036 Notes as of the date hereof;</w:t>
      </w:r>
    </w:p>
    <w:p>
      <w:pPr>
        <w:pStyle w:val="TextBody"/>
        <w:bidi w:val="0"/>
        <w:spacing w:lineRule="auto" w:line="288"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Company desires to establish the terms of the 2036 Notes;</w:t>
      </w:r>
    </w:p>
    <w:p>
      <w:pPr>
        <w:pStyle w:val="TextBody"/>
        <w:bidi w:val="0"/>
        <w:spacing w:lineRule="auto" w:line="288"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all things necessary to make this Fifth Supplemental Indenture a legal and binding supplement to the Base Indenture in accordance with its terms and the terms of the Base Indenture have been done;</w:t>
      </w:r>
    </w:p>
    <w:p>
      <w:pPr>
        <w:pStyle w:val="TextBody"/>
        <w:bidi w:val="0"/>
        <w:spacing w:lineRule="auto" w:line="288"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Company has complied with all conditions precedent provided for in the Base Indenture relating to this Fifth Supplemental Indenture; and</w:t>
      </w:r>
    </w:p>
    <w:p>
      <w:pPr>
        <w:pStyle w:val="TextBody"/>
        <w:bidi w:val="0"/>
        <w:spacing w:lineRule="auto" w:line="288" w:before="0" w:after="240"/>
        <w:ind w:left="0" w:right="0" w:firstLine="720"/>
        <w:jc w:val="left"/>
        <w:rPr/>
      </w:pPr>
      <w:r>
        <w:rPr>
          <w:rFonts w:ascii="Times New Roman;serif" w:hAnsi="Times New Roman;serif"/>
          <w:b/>
          <w:color w:val="000000"/>
          <w:sz w:val="22"/>
        </w:rPr>
        <w:t>WHEREAS</w:t>
      </w:r>
      <w:r>
        <w:rPr>
          <w:rFonts w:ascii="Times New Roman;serif" w:hAnsi="Times New Roman;serif"/>
          <w:b w:val="false"/>
          <w:color w:val="000000"/>
          <w:sz w:val="22"/>
        </w:rPr>
        <w:t>, the Company has requested that the Trustee execute and deliver this Fifth Supplemental Indenture.</w:t>
      </w:r>
    </w:p>
    <w:p>
      <w:pPr>
        <w:pStyle w:val="TextBody"/>
        <w:bidi w:val="0"/>
        <w:spacing w:lineRule="auto" w:line="288" w:before="0" w:after="240"/>
        <w:ind w:left="0" w:right="0" w:firstLine="720"/>
        <w:jc w:val="left"/>
        <w:rPr/>
      </w:pPr>
      <w:r>
        <w:rPr>
          <w:rFonts w:ascii="Times New Roman;serif" w:hAnsi="Times New Roman;serif"/>
          <w:b/>
          <w:color w:val="000000"/>
          <w:sz w:val="22"/>
        </w:rPr>
        <w:t>NOW, THEREFORE</w:t>
      </w:r>
      <w:r>
        <w:rPr>
          <w:rFonts w:ascii="Times New Roman;serif" w:hAnsi="Times New Roman;serif"/>
          <w:b w:val="false"/>
          <w:color w:val="000000"/>
          <w:sz w:val="22"/>
        </w:rPr>
        <w:t>, for and in consideration of the premises stated herein and the purchase of the 2036 Notes by the Holders thereof, the Company and the Trustee covenant and agree, for the equal and proportionate benefit of the Holders of the 2036 Notes,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I</w:t>
      </w:r>
      <w:r>
        <w:rPr>
          <w:rFonts w:ascii="Times New Roman;serif" w:hAnsi="Times New Roman;serif"/>
          <w:b w:val="false"/>
          <w:color w:val="000000"/>
          <w:sz w:val="22"/>
        </w:rPr>
        <w:br/>
        <w:t>SCOPE OF FIFTH SUPPLEMENTAL INDENTURE</w:t>
      </w:r>
    </w:p>
    <w:p>
      <w:pPr>
        <w:pStyle w:val="TextBody"/>
        <w:bidi w:val="0"/>
        <w:spacing w:lineRule="auto" w:line="240" w:before="0" w:after="240"/>
        <w:ind w:left="0" w:right="0" w:firstLine="720"/>
        <w:jc w:val="left"/>
        <w:rPr/>
      </w:pPr>
      <w:r>
        <w:rPr>
          <w:rFonts w:ascii="Times New Roman;serif" w:hAnsi="Times New Roman;serif"/>
          <w:b w:val="false"/>
          <w:color w:val="000000"/>
          <w:sz w:val="22"/>
        </w:rPr>
        <w:t>01.</w:t>
      </w:r>
      <w:r>
        <w:rPr>
          <w:rFonts w:ascii="Times New Roman;serif" w:hAnsi="Times New Roman;serif"/>
          <w:b w:val="false"/>
          <w:i/>
          <w:color w:val="000000"/>
          <w:sz w:val="22"/>
        </w:rPr>
        <w:t>Scope</w:t>
      </w:r>
      <w:r>
        <w:rPr>
          <w:rFonts w:ascii="Times New Roman;serif" w:hAnsi="Times New Roman;serif"/>
          <w:b w:val="false"/>
          <w:color w:val="000000"/>
          <w:sz w:val="22"/>
        </w:rPr>
        <w:t>. This Fifth Supplemental Indenture constitutes a supplement to the Base Indenture and an integral part of the Indenture and shall be read together with the Base Indenture as though all the provisions thereof are contained in one instrument. Except as expressly amended by the Fifth Supplemental Indenture, the terms and provisions of the Base Indenture shall remain in full force and effect. Notwithstanding the foregoing, this Fifth Supplemental Indenture shall only apply to the 2036 Notes.</w:t>
      </w:r>
    </w:p>
    <w:p>
      <w:pPr>
        <w:pStyle w:val="TextBody"/>
        <w:bidi w:val="0"/>
        <w:spacing w:lineRule="auto" w:line="240" w:before="0" w:after="240"/>
        <w:jc w:val="center"/>
        <w:rPr/>
      </w:pPr>
      <w:r>
        <w:rPr>
          <w:rFonts w:ascii="Times New Roman;serif" w:hAnsi="Times New Roman;serif"/>
          <w:b w:val="false"/>
          <w:color w:val="000000"/>
          <w:sz w:val="24"/>
        </w:rPr>
        <w:t>Article II</w:t>
      </w:r>
      <w:r>
        <w:rPr>
          <w:rFonts w:ascii="Times New Roman;serif" w:hAnsi="Times New Roman;serif"/>
          <w:b w:val="false"/>
          <w:color w:val="000000"/>
          <w:sz w:val="22"/>
        </w:rPr>
        <w:br/>
        <w:t>DEFINITIONS</w:t>
      </w:r>
    </w:p>
    <w:p>
      <w:pPr>
        <w:pStyle w:val="TextBody"/>
        <w:bidi w:val="0"/>
        <w:spacing w:lineRule="auto" w:line="240" w:before="0" w:after="240"/>
        <w:ind w:left="0" w:right="0" w:firstLine="720"/>
        <w:jc w:val="left"/>
        <w:rPr/>
      </w:pPr>
      <w:r>
        <w:rPr>
          <w:rFonts w:ascii="Times New Roman;serif" w:hAnsi="Times New Roman;serif"/>
          <w:b w:val="false"/>
          <w:color w:val="000000"/>
          <w:sz w:val="22"/>
        </w:rPr>
        <w:t>01.</w:t>
      </w:r>
      <w:r>
        <w:rPr>
          <w:rFonts w:ascii="Times New Roman;serif" w:hAnsi="Times New Roman;serif"/>
          <w:b w:val="false"/>
          <w:i/>
          <w:color w:val="000000"/>
          <w:sz w:val="22"/>
        </w:rPr>
        <w:t>Definitions and Other Provisions of General Application</w:t>
      </w:r>
      <w:r>
        <w:rPr>
          <w:rFonts w:ascii="Times New Roman;serif" w:hAnsi="Times New Roman;serif"/>
          <w:b w:val="false"/>
          <w:color w:val="000000"/>
          <w:sz w:val="22"/>
        </w:rPr>
        <w:t>. For all purposes of this Fifth Supplemental Indenture unless otherwise specified herein:</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all terms used in this Fifth Supplemental Indenture which are not otherwise defined herein shall have the meanings they are given in the Base Indenture and include the plural as well as the singular;</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the provisions of general application stated in Sections 10.1 through 10.14 of the Base Indenture shall apply to this Fifth Supplemental Indenture, except that the words “</w:t>
      </w:r>
      <w:r>
        <w:rPr>
          <w:rFonts w:ascii="Times New Roman;serif" w:hAnsi="Times New Roman;serif"/>
          <w:b/>
          <w:color w:val="000000"/>
          <w:sz w:val="22"/>
        </w:rPr>
        <w:t>herein</w:t>
      </w:r>
      <w:r>
        <w:rPr>
          <w:rFonts w:ascii="Times New Roman;serif" w:hAnsi="Times New Roman;serif"/>
          <w:b w:val="false"/>
          <w:color w:val="000000"/>
          <w:sz w:val="22"/>
        </w:rPr>
        <w:t>,” “</w:t>
      </w:r>
      <w:r>
        <w:rPr>
          <w:rFonts w:ascii="Times New Roman;serif" w:hAnsi="Times New Roman;serif"/>
          <w:b/>
          <w:color w:val="000000"/>
          <w:sz w:val="22"/>
        </w:rPr>
        <w:t>hereof</w:t>
      </w:r>
      <w:r>
        <w:rPr>
          <w:rFonts w:ascii="Times New Roman;serif" w:hAnsi="Times New Roman;serif"/>
          <w:b w:val="false"/>
          <w:color w:val="000000"/>
          <w:sz w:val="22"/>
        </w:rPr>
        <w:t>,” “</w:t>
      </w:r>
      <w:r>
        <w:rPr>
          <w:rFonts w:ascii="Times New Roman;serif" w:hAnsi="Times New Roman;serif"/>
          <w:b/>
          <w:color w:val="000000"/>
          <w:sz w:val="22"/>
        </w:rPr>
        <w:t>hereto</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hereunder</w:t>
      </w:r>
      <w:r>
        <w:rPr>
          <w:color w:val="000000"/>
        </w:rPr>
        <w:t xml:space="preserve">” </w:t>
      </w:r>
      <w:r>
        <w:rPr>
          <w:rFonts w:ascii="Times New Roman;serif" w:hAnsi="Times New Roman;serif"/>
          <w:b w:val="false"/>
          <w:color w:val="000000"/>
          <w:sz w:val="22"/>
        </w:rPr>
        <w:t>and other words of similar import refer to this Fifth Supplemental Indenture as a whole and not to the Base Indenture or any particular Article, Section or other subdivision of the Base Indenture or this Fifth Supplemental Indenture;</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Section 1.1 of the Base Indenture is amended and supplemented, solely with respect to the 2036 Notes, by inserting the following additional defined terms in their appropriate alphabetical positions: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Act</w:t>
      </w:r>
      <w:r>
        <w:rPr>
          <w:color w:val="000000"/>
        </w:rPr>
        <w:t xml:space="preserve">” </w:t>
      </w:r>
      <w:r>
        <w:rPr>
          <w:rFonts w:ascii="Times New Roman;serif" w:hAnsi="Times New Roman;serif"/>
          <w:b w:val="false"/>
          <w:color w:val="000000"/>
          <w:sz w:val="22"/>
        </w:rPr>
        <w:t xml:space="preserve">means any request, demand, authorization, direction, notice, consent, waiver or other action provided or permitted by the Indenture to be given, made or taken by Holders, which may be embodied in and evidenced by one or more instruments of substantially similar tenor signed by such Holders in person or by agent duly appointed in writing; such action shall become effective when such instrument or instruments are delivered to the Trustee and, where it is hereby expressly required, to the Company.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Administrative or Judicial Action</w:t>
      </w:r>
      <w:r>
        <w:rPr>
          <w:color w:val="000000"/>
        </w:rPr>
        <w:t xml:space="preserve">” </w:t>
      </w:r>
      <w:r>
        <w:rPr>
          <w:rFonts w:ascii="Times New Roman;serif" w:hAnsi="Times New Roman;serif"/>
          <w:b w:val="false"/>
          <w:color w:val="000000"/>
          <w:sz w:val="22"/>
        </w:rPr>
        <w:t>has the meaning provided in the definition of “</w:t>
      </w:r>
      <w:r>
        <w:rPr>
          <w:rFonts w:ascii="Times New Roman;serif" w:hAnsi="Times New Roman;serif"/>
          <w:b/>
          <w:color w:val="000000"/>
          <w:sz w:val="22"/>
        </w:rPr>
        <w:t>Tax Event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w:t>
      </w:r>
      <w:r>
        <w:rPr>
          <w:color w:val="000000"/>
        </w:rPr>
        <w:t xml:space="preserve">” </w:t>
      </w:r>
      <w:r>
        <w:rPr>
          <w:rFonts w:ascii="Times New Roman;serif" w:hAnsi="Times New Roman;serif"/>
          <w:b w:val="false"/>
          <w:color w:val="000000"/>
          <w:sz w:val="22"/>
        </w:rPr>
        <w:t>means, initially, Three-Month Term SOFR; provided that if the Calculation Agent determines on or prior to the Reference Time that a Benchmark Transition Event and its related Benchmark Replacement Date have occurred with respect to Three-Month Term SOFR or the then-current Benchmark, then “</w:t>
      </w:r>
      <w:r>
        <w:rPr>
          <w:rFonts w:ascii="Times New Roman;serif" w:hAnsi="Times New Roman;serif"/>
          <w:b/>
          <w:color w:val="000000"/>
          <w:sz w:val="22"/>
        </w:rPr>
        <w:t>Benchmark</w:t>
      </w:r>
      <w:r>
        <w:rPr>
          <w:color w:val="000000"/>
        </w:rPr>
        <w:t xml:space="preserve">” </w:t>
      </w:r>
      <w:r>
        <w:rPr>
          <w:rFonts w:ascii="Times New Roman;serif" w:hAnsi="Times New Roman;serif"/>
          <w:b w:val="false"/>
          <w:color w:val="000000"/>
          <w:sz w:val="22"/>
        </w:rPr>
        <w:t>means the applicable Benchmark Replacement. All percentages used in or resulting from any calculation of the then-current Benchmark shall be rounded, if necessary, to the nearest one-hundred-thousandth of a percentage point, with 0.000005% rounded up to 0.00001%.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 Replacement</w:t>
      </w:r>
      <w:r>
        <w:rPr>
          <w:color w:val="000000"/>
        </w:rPr>
        <w:t xml:space="preserve">” </w:t>
      </w:r>
      <w:r>
        <w:rPr>
          <w:rFonts w:ascii="Times New Roman;serif" w:hAnsi="Times New Roman;serif"/>
          <w:b w:val="false"/>
          <w:color w:val="000000"/>
          <w:sz w:val="22"/>
        </w:rPr>
        <w:t xml:space="preserve">means the Interpolated Benchmark with respect to the then-current Benchmark, plus the Benchmark Replacement Adjustment for such Benchmark; provided that if (a) the Calculation Agent cannot determine the Interpolated Benchmark as of the Benchmark Replacement Date or (b)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 xml:space="preserve">Benchmark Replacement” means the first alternative set forth in the order below that can be determined by the Calculation Agent as of the Benchmark Replacement Date: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(1) Compounded SOFR;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(2) the sum of: (a) the alternate rate that has been selected or recommended by the Relevant Governmental Body as the replacement for the then-current Benchmark for the applicable Corresponding Tenor and (b) the Benchmark Replacement Adjustment;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the sum of: (a) the ISDA Fallback Rate, and (b) the Benchmark Replacement Adjustment;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(4) the sum of: (a) the alternate rate that has been selected by the Calculation Agent as the replacement for the then-current Benchmark for the applicable Corresponding Tenor, giving due consideration to any industry-accepted rate as a replacement for the then-current Benchmark for U.S. Dollar-denominated floating rate securities at such time, and (b) the Benchmark Replacement Adjustment.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 Replacement Adjustment</w:t>
      </w:r>
      <w:r>
        <w:rPr>
          <w:color w:val="000000"/>
        </w:rPr>
        <w:t xml:space="preserve">” </w:t>
      </w:r>
      <w:r>
        <w:rPr>
          <w:rFonts w:ascii="Times New Roman;serif" w:hAnsi="Times New Roman;serif"/>
          <w:b w:val="false"/>
          <w:color w:val="000000"/>
          <w:sz w:val="22"/>
        </w:rPr>
        <w:t xml:space="preserve">means the first alternative set forth in the order below that can be determined by the Calculation Agent as of the Benchmark Replacement Date: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(1) the spread adjustment, or method for calculating or determining such spread adjustment (which may be a positive or negative value or zero), that has been selected or recommended by the Relevant Governmental Body for the applicable Unadjusted Benchmark Replacement;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(2) if the applicable Unadjusted Benchmark Replacement is equivalent to the ISDA Fallback Rate, then the ISDA Fallback Adjustment; and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(3) the spread adjustment (which may be a positive or negative value or zero) that has been selected by the Calculation Agent giving due consideration to any industry-accepted spread adjustment or method for calculating or determining such spread adjustment, for the replacement of the then-current Benchmark with the applicable Unadjusted Benchmark Replacement for U.S. Dollar-denominated floating rate securities at such time.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 Replacement Conforming Changes</w:t>
      </w:r>
      <w:r>
        <w:rPr>
          <w:color w:val="000000"/>
        </w:rPr>
        <w:t xml:space="preserve">” </w:t>
      </w:r>
      <w:r>
        <w:rPr>
          <w:rFonts w:ascii="Times New Roman;serif" w:hAnsi="Times New Roman;serif"/>
          <w:b w:val="false"/>
          <w:color w:val="000000"/>
          <w:sz w:val="22"/>
        </w:rPr>
        <w:t xml:space="preserve">means, with respect to any Benchmark Replacement, any technical, administrative or operational changes (including changes to the definition of “interest period,” timing and frequency of determining rates with respect to each interest period and making payments of interest, rounding of amounts or tenors, and other administrative matters) that the Calculation Agent decides may be appropriate to reflect the adoption of such Benchmark Replacement in a manner substantially consistent with market practice (or, if the Calculation Agent decides that adoption of any portion of such market practice is not administratively feasible or if the Calculation Agent determines that no market practice for use of the Benchmark Replacement exists, in such other manner as the Calculation Agent determines is reasonably necessary).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 Replacement Date</w:t>
      </w:r>
      <w:r>
        <w:rPr>
          <w:color w:val="000000"/>
        </w:rPr>
        <w:t xml:space="preserve">” </w:t>
      </w:r>
      <w:r>
        <w:rPr>
          <w:rFonts w:ascii="Times New Roman;serif" w:hAnsi="Times New Roman;serif"/>
          <w:b w:val="false"/>
          <w:color w:val="000000"/>
          <w:sz w:val="22"/>
        </w:rPr>
        <w:t xml:space="preserve">means the earliest to occur of the following events with respect to the then-current Benchmark: </w:t>
      </w:r>
    </w:p>
    <w:p>
      <w:pPr>
        <w:pStyle w:val="TextBody"/>
        <w:bidi w:val="0"/>
        <w:spacing w:lineRule="auto" w:line="288" w:before="0" w:after="240"/>
        <w:ind w:left="0" w:right="0" w:firstLine="720"/>
        <w:jc w:val="left"/>
        <w:rPr/>
      </w:pPr>
      <w:r>
        <w:rPr>
          <w:rFonts w:ascii="Times New Roman;serif" w:hAnsi="Times New Roman;serif"/>
          <w:b w:val="false"/>
          <w:color w:val="000000"/>
          <w:sz w:val="22"/>
        </w:rPr>
        <w:t>(1) in the case of clause (1) of the definition of “</w:t>
      </w:r>
      <w:r>
        <w:rPr>
          <w:rFonts w:ascii="Times New Roman;serif" w:hAnsi="Times New Roman;serif"/>
          <w:b/>
          <w:color w:val="000000"/>
          <w:sz w:val="22"/>
        </w:rPr>
        <w:t>Benchmark Transition Event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relevant Reference Time in respect of any determination;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(2) in the case of clause (2) or (3) of the definition of “</w:t>
      </w:r>
      <w:r>
        <w:rPr>
          <w:rFonts w:ascii="Times New Roman;serif" w:hAnsi="Times New Roman;serif"/>
          <w:b/>
          <w:color w:val="000000"/>
          <w:sz w:val="22"/>
        </w:rPr>
        <w:t>Benchmark Transition Event</w:t>
      </w:r>
      <w:r>
        <w:rPr>
          <w:rFonts w:ascii="Times New Roman;serif" w:hAnsi="Times New Roman;serif"/>
          <w:b w:val="false"/>
          <w:color w:val="000000"/>
          <w:sz w:val="22"/>
        </w:rPr>
        <w:t xml:space="preserve">,” the later of (a) the date of the public statement or publication of information referenced therein and (b) the date on which the administrator of the Benchmark permanently or indefinitely ceases to provide the Benchmark; or </w:t>
      </w:r>
    </w:p>
    <w:p>
      <w:pPr>
        <w:pStyle w:val="TextBody"/>
        <w:bidi w:val="0"/>
        <w:spacing w:lineRule="auto" w:line="288" w:before="0" w:after="240"/>
        <w:ind w:left="0" w:right="0" w:firstLine="720"/>
        <w:jc w:val="left"/>
        <w:rPr/>
      </w:pPr>
      <w:r>
        <w:rPr>
          <w:rFonts w:ascii="Times New Roman;serif" w:hAnsi="Times New Roman;serif"/>
          <w:b w:val="false"/>
          <w:color w:val="000000"/>
          <w:sz w:val="22"/>
        </w:rPr>
        <w:t>(3) in the case of clause (4) of the definition of “</w:t>
      </w:r>
      <w:r>
        <w:rPr>
          <w:rFonts w:ascii="Times New Roman;serif" w:hAnsi="Times New Roman;serif"/>
          <w:b/>
          <w:color w:val="000000"/>
          <w:sz w:val="22"/>
        </w:rPr>
        <w:t>Benchmark Transition Event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date of the public statement or publication of information referenced therein.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For the avoidance of doubt, for purposes of the definitions of Benchmark Replacement Date and Benchmark Transition Event, references to the Benchmark also include any reference rate underlying the Benchmark (for example, if the Benchmark becomes Compounded SOFR, references to the Benchmark would include SOFR).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 Transition Event</w:t>
      </w:r>
      <w:r>
        <w:rPr>
          <w:color w:val="000000"/>
        </w:rPr>
        <w:t xml:space="preserve">” </w:t>
      </w:r>
      <w:r>
        <w:rPr>
          <w:rFonts w:ascii="Times New Roman;serif" w:hAnsi="Times New Roman;serif"/>
          <w:b w:val="false"/>
          <w:color w:val="000000"/>
          <w:sz w:val="22"/>
        </w:rPr>
        <w:t xml:space="preserve">means the occurrence of one or more of the following events with respect to the then-current Benchmark: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(1) if the Benchmark is Three-Month Term SOFR, (a) the Relevant Governmental Body has not selected or recommended a forward-looking term rate for a tenor of three months based on SOFR, (b) the development of a forward-looking term rate for a tenor of three months based on SOFR that has been recommended or selected by the Relevant Governmental Body is not complete or (c) the Company determines that the use of a forward-looking rate for a tenor of three months based on SOFR is not administratively feasible;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(2) 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(3) 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a public statement or publication of information by the regulatory supervisor for the administrator of the Benchmark announcing that the Benchmark is no longer representative.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Calculation Agent</w:t>
      </w:r>
      <w:r>
        <w:rPr>
          <w:color w:val="000000"/>
        </w:rPr>
        <w:t xml:space="preserve">” </w:t>
      </w:r>
      <w:r>
        <w:rPr>
          <w:rFonts w:ascii="Times New Roman;serif" w:hAnsi="Times New Roman;serif"/>
          <w:b w:val="false"/>
          <w:color w:val="000000"/>
          <w:sz w:val="22"/>
        </w:rPr>
        <w:t xml:space="preserve">has the meaning ascribed in Section 3.02(e)(iv) of the Fifth Supplemental Indenture.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Compounded SOFR</w:t>
      </w:r>
      <w:r>
        <w:rPr>
          <w:color w:val="000000"/>
        </w:rPr>
        <w:t xml:space="preserve">” </w:t>
      </w:r>
      <w:r>
        <w:rPr>
          <w:rFonts w:ascii="Times New Roman;serif" w:hAnsi="Times New Roman;serif"/>
          <w:b w:val="false"/>
          <w:color w:val="000000"/>
          <w:sz w:val="22"/>
        </w:rPr>
        <w:t xml:space="preserve">means the compounded average of SOFRs for the applicable Corresponding Tenor, with the rate, or methodology for this rate, and conventions for this rate being established by the Calculation Agent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(1) the rate, or methodology for this rate, and conventions for this rate selected or recommended by the Relevant Governmental Body for determining Compounded SOFR; provided that: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(2) if, and to the extent that, the Calculation Agent determines that Compounded SOFR cannot be determined in accordance with clause (1) above, then the rate, or methodology for this rate, and conventions for this rate that have been selected by the Calculation Agent giving due consideration to any industry-accepted market practice for U.S. Dollar-denominated floating rate securities at such time.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For the avoidance of doubt, the calculation of Compounded SOFR shall exclude the Benchmark Replacement Adjustment (if applicable) and the spread of 245 basis points per annum.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Corresponding Tenor</w:t>
      </w:r>
      <w:r>
        <w:rPr>
          <w:color w:val="000000"/>
        </w:rPr>
        <w:t xml:space="preserve">” </w:t>
      </w:r>
      <w:r>
        <w:rPr>
          <w:rFonts w:ascii="Times New Roman;serif" w:hAnsi="Times New Roman;serif"/>
          <w:b w:val="false"/>
          <w:color w:val="000000"/>
          <w:sz w:val="22"/>
        </w:rPr>
        <w:t>with respect to a Benchmark Replacement means a tenor (including overnight) having approximately the same length (disregarding business day adjustment) as the applicable tenor for the then-current Benchmark.</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DTC</w:t>
      </w:r>
      <w:r>
        <w:rPr>
          <w:color w:val="000000"/>
        </w:rPr>
        <w:t xml:space="preserve">” </w:t>
      </w:r>
      <w:r>
        <w:rPr>
          <w:rFonts w:ascii="Times New Roman;serif" w:hAnsi="Times New Roman;serif"/>
          <w:b w:val="false"/>
          <w:color w:val="000000"/>
          <w:sz w:val="22"/>
        </w:rPr>
        <w:t>has the meaning provided in Section 3.02(h)</w:t>
      </w:r>
      <w:r>
        <w:rPr>
          <w:color w:val="000000"/>
        </w:rPr>
        <w:t xml:space="preserve"> </w:t>
      </w:r>
      <w:r>
        <w:rPr>
          <w:rFonts w:ascii="Times New Roman;serif" w:hAnsi="Times New Roman;serif"/>
          <w:b w:val="false"/>
          <w:color w:val="000000"/>
          <w:sz w:val="22"/>
        </w:rPr>
        <w:t>of the Fifth Supplemental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Federal Reserve</w:t>
      </w:r>
      <w:r>
        <w:rPr>
          <w:color w:val="000000"/>
        </w:rPr>
        <w:t xml:space="preserve">” </w:t>
      </w:r>
      <w:r>
        <w:rPr>
          <w:rFonts w:ascii="Times New Roman;serif" w:hAnsi="Times New Roman;serif"/>
          <w:b w:val="false"/>
          <w:color w:val="000000"/>
          <w:sz w:val="22"/>
        </w:rPr>
        <w:t>has the meaning provided in the definition of “</w:t>
      </w:r>
      <w:r>
        <w:rPr>
          <w:rFonts w:ascii="Times New Roman;serif" w:hAnsi="Times New Roman;serif"/>
          <w:b/>
          <w:color w:val="000000"/>
          <w:sz w:val="22"/>
        </w:rPr>
        <w:t>Tier 2 Capital Event.</w:t>
      </w:r>
      <w:r>
        <w:rPr>
          <w:color w:val="000000"/>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Federal Reserve Bank of New York’s Website</w:t>
      </w:r>
      <w:r>
        <w:rPr>
          <w:color w:val="000000"/>
        </w:rPr>
        <w:t xml:space="preserve">” </w:t>
      </w:r>
      <w:r>
        <w:rPr>
          <w:rFonts w:ascii="Times New Roman;serif" w:hAnsi="Times New Roman;serif"/>
          <w:b w:val="false"/>
          <w:color w:val="000000"/>
          <w:sz w:val="22"/>
        </w:rPr>
        <w:t>means the website of the Federal Reserve Bank of New York at http://www.newyorkfed.org, or any successor source.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Fixed Rate Interest Payment Date</w:t>
      </w:r>
      <w:r>
        <w:rPr>
          <w:color w:val="000000"/>
        </w:rPr>
        <w:t xml:space="preserve">” </w:t>
      </w:r>
      <w:r>
        <w:rPr>
          <w:rFonts w:ascii="Times New Roman;serif" w:hAnsi="Times New Roman;serif"/>
          <w:b w:val="false"/>
          <w:color w:val="000000"/>
          <w:sz w:val="22"/>
        </w:rPr>
        <w:t>has the meaning provided in Section 3.02(e)(i)</w:t>
      </w:r>
      <w:r>
        <w:rPr>
          <w:color w:val="000000"/>
        </w:rPr>
        <w:t xml:space="preserve"> </w:t>
      </w:r>
      <w:r>
        <w:rPr>
          <w:rFonts w:ascii="Times New Roman;serif" w:hAnsi="Times New Roman;serif"/>
          <w:b w:val="false"/>
          <w:color w:val="000000"/>
          <w:sz w:val="22"/>
        </w:rPr>
        <w:t>of the Fifth Supplemental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Fixed Rate Period</w:t>
      </w:r>
      <w:r>
        <w:rPr>
          <w:color w:val="000000"/>
        </w:rPr>
        <w:t xml:space="preserve">” </w:t>
      </w:r>
      <w:r>
        <w:rPr>
          <w:rFonts w:ascii="Times New Roman;serif" w:hAnsi="Times New Roman;serif"/>
          <w:b w:val="false"/>
          <w:color w:val="000000"/>
          <w:sz w:val="22"/>
        </w:rPr>
        <w:t>has the meaning provided in Section 3.02(e)(i)</w:t>
      </w:r>
      <w:r>
        <w:rPr>
          <w:color w:val="000000"/>
        </w:rPr>
        <w:t xml:space="preserve"> </w:t>
      </w:r>
      <w:r>
        <w:rPr>
          <w:rFonts w:ascii="Times New Roman;serif" w:hAnsi="Times New Roman;serif"/>
          <w:b w:val="false"/>
          <w:color w:val="000000"/>
          <w:sz w:val="22"/>
        </w:rPr>
        <w:t>of the Fifth Supplemental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Fixed Rate Regular Record Date</w:t>
      </w:r>
      <w:r>
        <w:rPr>
          <w:color w:val="000000"/>
        </w:rPr>
        <w:t xml:space="preserve">” </w:t>
      </w:r>
      <w:r>
        <w:rPr>
          <w:rFonts w:ascii="Times New Roman;serif" w:hAnsi="Times New Roman;serif"/>
          <w:b w:val="false"/>
          <w:color w:val="000000"/>
          <w:sz w:val="22"/>
        </w:rPr>
        <w:t>has the meaning provided in Section 3.02(e)(i)</w:t>
      </w:r>
      <w:r>
        <w:rPr>
          <w:color w:val="000000"/>
        </w:rPr>
        <w:t xml:space="preserve"> </w:t>
      </w:r>
      <w:r>
        <w:rPr>
          <w:rFonts w:ascii="Times New Roman;serif" w:hAnsi="Times New Roman;serif"/>
          <w:b w:val="false"/>
          <w:color w:val="000000"/>
          <w:sz w:val="22"/>
        </w:rPr>
        <w:t>of the Fifth Supplemental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Floating Rate Interest Payment Date</w:t>
      </w:r>
      <w:r>
        <w:rPr>
          <w:color w:val="000000"/>
        </w:rPr>
        <w:t xml:space="preserve">” </w:t>
      </w:r>
      <w:r>
        <w:rPr>
          <w:rFonts w:ascii="Times New Roman;serif" w:hAnsi="Times New Roman;serif"/>
          <w:b w:val="false"/>
          <w:color w:val="000000"/>
          <w:sz w:val="22"/>
        </w:rPr>
        <w:t>has the meaning provided in Section 3.02(e)(ii)</w:t>
      </w:r>
      <w:r>
        <w:rPr>
          <w:color w:val="000000"/>
        </w:rPr>
        <w:t xml:space="preserve"> </w:t>
      </w:r>
      <w:r>
        <w:rPr>
          <w:rFonts w:ascii="Times New Roman;serif" w:hAnsi="Times New Roman;serif"/>
          <w:b w:val="false"/>
          <w:color w:val="000000"/>
          <w:sz w:val="22"/>
        </w:rPr>
        <w:t>of the Fifth Supplemental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Floating Rate Period</w:t>
      </w:r>
      <w:r>
        <w:rPr>
          <w:color w:val="000000"/>
        </w:rPr>
        <w:t xml:space="preserve">” </w:t>
      </w:r>
      <w:r>
        <w:rPr>
          <w:rFonts w:ascii="Times New Roman;serif" w:hAnsi="Times New Roman;serif"/>
          <w:b w:val="false"/>
          <w:color w:val="000000"/>
          <w:sz w:val="22"/>
        </w:rPr>
        <w:t>has the meaning provided in Section 3.02(e)(ii)</w:t>
      </w:r>
      <w:r>
        <w:rPr>
          <w:color w:val="000000"/>
        </w:rPr>
        <w:t xml:space="preserve"> </w:t>
      </w:r>
      <w:r>
        <w:rPr>
          <w:rFonts w:ascii="Times New Roman;serif" w:hAnsi="Times New Roman;serif"/>
          <w:b w:val="false"/>
          <w:color w:val="000000"/>
          <w:sz w:val="22"/>
        </w:rPr>
        <w:t>of the Fifth Supplemental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Floating Rate Regular Record Date</w:t>
      </w:r>
      <w:r>
        <w:rPr>
          <w:color w:val="000000"/>
        </w:rPr>
        <w:t xml:space="preserve">” </w:t>
      </w:r>
      <w:r>
        <w:rPr>
          <w:rFonts w:ascii="Times New Roman;serif" w:hAnsi="Times New Roman;serif"/>
          <w:b w:val="false"/>
          <w:color w:val="000000"/>
          <w:sz w:val="22"/>
        </w:rPr>
        <w:t>has the meaning provided in Section 3.02(e)(ii)</w:t>
      </w:r>
      <w:r>
        <w:rPr>
          <w:color w:val="000000"/>
        </w:rPr>
        <w:t xml:space="preserve"> </w:t>
      </w:r>
      <w:r>
        <w:rPr>
          <w:rFonts w:ascii="Times New Roman;serif" w:hAnsi="Times New Roman;serif"/>
          <w:b w:val="false"/>
          <w:color w:val="000000"/>
          <w:sz w:val="22"/>
        </w:rPr>
        <w:t>of the Fifth Supplemental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Interest Payment Date</w:t>
      </w:r>
      <w:r>
        <w:rPr>
          <w:color w:val="000000"/>
        </w:rPr>
        <w:t xml:space="preserve">” </w:t>
      </w:r>
      <w:r>
        <w:rPr>
          <w:rFonts w:ascii="Times New Roman;serif" w:hAnsi="Times New Roman;serif"/>
          <w:b w:val="false"/>
          <w:color w:val="000000"/>
          <w:sz w:val="22"/>
        </w:rPr>
        <w:t>has the meaning provided in Section 3.02(e)(ii)</w:t>
      </w:r>
      <w:r>
        <w:rPr>
          <w:color w:val="000000"/>
        </w:rPr>
        <w:t xml:space="preserve"> </w:t>
      </w:r>
      <w:r>
        <w:rPr>
          <w:rFonts w:ascii="Times New Roman;serif" w:hAnsi="Times New Roman;serif"/>
          <w:b w:val="false"/>
          <w:color w:val="000000"/>
          <w:sz w:val="22"/>
        </w:rPr>
        <w:t>of the Fifth Supplemental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interest period</w:t>
      </w:r>
      <w:r>
        <w:rPr>
          <w:color w:val="000000"/>
        </w:rPr>
        <w:t xml:space="preserve">” </w:t>
      </w:r>
      <w:r>
        <w:rPr>
          <w:rFonts w:ascii="Times New Roman;serif" w:hAnsi="Times New Roman;serif"/>
          <w:b w:val="false"/>
          <w:color w:val="000000"/>
          <w:sz w:val="22"/>
        </w:rPr>
        <w:t xml:space="preserve">means the period from and including the immediately preceding Interest Payment Date in respect of which interest has been paid or duly provided for or, if no interest has been paid or duly provided for, from and including the Issue Date to, but excluding, the applicable Interest Payment Date or the Maturity Date or date of earlier redemption, if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Interpolated Benchmark</w:t>
      </w:r>
      <w:r>
        <w:rPr>
          <w:color w:val="000000"/>
        </w:rPr>
        <w:t xml:space="preserve">” </w:t>
      </w:r>
      <w:r>
        <w:rPr>
          <w:rFonts w:ascii="Times New Roman;serif" w:hAnsi="Times New Roman;serif"/>
          <w:b w:val="false"/>
          <w:color w:val="000000"/>
          <w:sz w:val="22"/>
        </w:rPr>
        <w:t xml:space="preserve">with respect to the Benchmark means the rate determined for the Corresponding Tenor by interpolating on a linear basis between: (1) the Benchmark for the longest period (for which the Benchmark is available) that is shorter than the Corresponding Tenor, and (2) the Benchmark for the shortest period (for which the Benchmark is available) that is longer than the Corresponding Tenor.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ISDA</w:t>
      </w:r>
      <w:r>
        <w:rPr>
          <w:color w:val="000000"/>
        </w:rPr>
        <w:t xml:space="preserve">” </w:t>
      </w:r>
      <w:r>
        <w:rPr>
          <w:rFonts w:ascii="Times New Roman;serif" w:hAnsi="Times New Roman;serif"/>
          <w:b w:val="false"/>
          <w:color w:val="000000"/>
          <w:sz w:val="22"/>
        </w:rPr>
        <w:t xml:space="preserve">means the International Swaps and Derivatives Association, Inc. or any successor.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ISDA Definitions</w:t>
      </w:r>
      <w:r>
        <w:rPr>
          <w:color w:val="000000"/>
        </w:rPr>
        <w:t xml:space="preserve">” </w:t>
      </w:r>
      <w:r>
        <w:rPr>
          <w:rFonts w:ascii="Times New Roman;serif" w:hAnsi="Times New Roman;serif"/>
          <w:b w:val="false"/>
          <w:color w:val="000000"/>
          <w:sz w:val="22"/>
        </w:rPr>
        <w:t xml:space="preserve">means the 2006 ISDA Definitions published by the ISDA or any successor thereto, as amended or supplemented from time to time, or any successor definitional booklet for interest rate derivatives published from time to time.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ISDA Fallback Adjustment</w:t>
      </w:r>
      <w:r>
        <w:rPr>
          <w:color w:val="000000"/>
        </w:rPr>
        <w:t xml:space="preserve">” </w:t>
      </w:r>
      <w:r>
        <w:rPr>
          <w:rFonts w:ascii="Times New Roman;serif" w:hAnsi="Times New Roman;serif"/>
          <w:b w:val="false"/>
          <w:color w:val="000000"/>
          <w:sz w:val="22"/>
        </w:rPr>
        <w:t xml:space="preserve">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ISDA Fallback Rate</w:t>
      </w:r>
      <w:r>
        <w:rPr>
          <w:color w:val="000000"/>
        </w:rPr>
        <w:t xml:space="preserve">” </w:t>
      </w:r>
      <w:r>
        <w:rPr>
          <w:rFonts w:ascii="Times New Roman;serif" w:hAnsi="Times New Roman;serif"/>
          <w:b w:val="false"/>
          <w:color w:val="000000"/>
          <w:sz w:val="22"/>
        </w:rPr>
        <w:t>means the rate that would apply for derivatives transactions referencing the ISDA Definitions to be effective upon the occurrence of an index cessation date with respect to the Benchmark for the applicable tenor excluding the applicable ISDA Fallback Adjustment.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Issue Date</w:t>
      </w:r>
      <w:r>
        <w:rPr>
          <w:color w:val="000000"/>
        </w:rPr>
        <w:t xml:space="preserve">” </w:t>
      </w:r>
      <w:r>
        <w:rPr>
          <w:rFonts w:ascii="Times New Roman;serif" w:hAnsi="Times New Roman;serif"/>
          <w:b w:val="false"/>
          <w:color w:val="000000"/>
          <w:sz w:val="22"/>
        </w:rPr>
        <w:t>means May 7, 2026.</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Major Constituent Bank</w:t>
      </w:r>
      <w:r>
        <w:rPr>
          <w:color w:val="000000"/>
        </w:rPr>
        <w:t xml:space="preserve">” </w:t>
      </w:r>
      <w:r>
        <w:rPr>
          <w:rFonts w:ascii="Times New Roman;serif" w:hAnsi="Times New Roman;serif"/>
          <w:b w:val="false"/>
          <w:color w:val="000000"/>
          <w:sz w:val="22"/>
        </w:rPr>
        <w:t xml:space="preserve">means any Subsidiary which is organized as a banking organization under federal or state law and which represents 50% or more of the consolidated assets of the Company determined as of the date of the most recent audited financial statements of the Company.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Maturity Date</w:t>
      </w:r>
      <w:r>
        <w:rPr>
          <w:color w:val="000000"/>
        </w:rPr>
        <w:t xml:space="preserve">” </w:t>
      </w:r>
      <w:r>
        <w:rPr>
          <w:rFonts w:ascii="Times New Roman;serif" w:hAnsi="Times New Roman;serif"/>
          <w:b w:val="false"/>
          <w:color w:val="000000"/>
          <w:sz w:val="22"/>
        </w:rPr>
        <w:t>has the meaning provided in Section 3.02(d) of the Fifth Supplemental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Redemption Date</w:t>
      </w:r>
      <w:r>
        <w:rPr>
          <w:color w:val="000000"/>
        </w:rPr>
        <w:t xml:space="preserve">” </w:t>
      </w:r>
      <w:r>
        <w:rPr>
          <w:rFonts w:ascii="Times New Roman;serif" w:hAnsi="Times New Roman;serif"/>
          <w:b w:val="false"/>
          <w:color w:val="000000"/>
          <w:sz w:val="22"/>
        </w:rPr>
        <w:t>has the meaning provided in Section 3.02(h) of the Fifth Supplemental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Reference Time</w:t>
      </w:r>
      <w:r>
        <w:rPr>
          <w:color w:val="000000"/>
        </w:rPr>
        <w:t xml:space="preserve">” </w:t>
      </w:r>
      <w:r>
        <w:rPr>
          <w:rFonts w:ascii="Times New Roman;serif" w:hAnsi="Times New Roman;serif"/>
          <w:b w:val="false"/>
          <w:color w:val="000000"/>
          <w:sz w:val="22"/>
        </w:rPr>
        <w:t xml:space="preserve">with respect to any determination of the Benchmark means (1) if the Benchmark is Three-Month Term SOFR, the date that is two (2) U.S. Government Securities Business Days prior to the start of the relevant floating rate interest period, or such other time determined by the Calculation Agent after giving effect to the Three-Month Term SOFR Conventions, and (2) if the Benchmark is not Three-Month Term SOFR, the time determined by the Calculation Agent after giving effect to the Benchmark Replacement Conforming Changes.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Relevant Governmental Body</w:t>
      </w:r>
      <w:r>
        <w:rPr>
          <w:color w:val="000000"/>
        </w:rPr>
        <w:t xml:space="preserve">” </w:t>
      </w:r>
      <w:r>
        <w:rPr>
          <w:rFonts w:ascii="Times New Roman;serif" w:hAnsi="Times New Roman;serif"/>
          <w:b w:val="false"/>
          <w:color w:val="000000"/>
          <w:sz w:val="22"/>
        </w:rPr>
        <w:t xml:space="preserve">means the Federal Reserve and/or the Federal Reserve Bank of New York, or a committee officially endorsed or convened by the Federal Reserve and/or the Federal Reserve Bank of New York or any successor thereto.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SOFR</w:t>
      </w:r>
      <w:r>
        <w:rPr>
          <w:color w:val="000000"/>
        </w:rPr>
        <w:t xml:space="preserve">” </w:t>
      </w:r>
      <w:r>
        <w:rPr>
          <w:rFonts w:ascii="Times New Roman;serif" w:hAnsi="Times New Roman;serif"/>
          <w:b w:val="false"/>
          <w:color w:val="000000"/>
          <w:sz w:val="22"/>
        </w:rPr>
        <w:t>means the secured overnight financing rate published by the Federal Reserve Bank of New York, as the administrator of the Benchmark (or a successor administrator), on the Federal Reserve Bank of New York’s website.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Tax Event</w:t>
      </w:r>
      <w:r>
        <w:rPr>
          <w:color w:val="000000"/>
        </w:rPr>
        <w:t xml:space="preserve">” </w:t>
      </w:r>
      <w:r>
        <w:rPr>
          <w:rFonts w:ascii="Times New Roman;serif" w:hAnsi="Times New Roman;serif"/>
          <w:b w:val="false"/>
          <w:color w:val="000000"/>
          <w:sz w:val="22"/>
        </w:rPr>
        <w:t xml:space="preserve">means the receipt by the Company of an opinion of independent tax counsel to the effect that as a result of (a) an amendment to, or change (including any announced prospective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amendment or change) in, any law or treaty, or any regulation thereunder, of the United States or any political subdivision or taxing authority thereof or therein; (b) a judicial decision, administrative action, official administrative pronouncement, ruling, regulatory procedure, regulation, notice or announcement, including any notice or announcement of intent to adopt or promulgate any ruling, regulatory procedure or regulation (any of the foregoing, an “</w:t>
      </w:r>
      <w:r>
        <w:rPr>
          <w:rFonts w:ascii="Times New Roman;serif" w:hAnsi="Times New Roman;serif"/>
          <w:b/>
          <w:color w:val="000000"/>
          <w:sz w:val="22"/>
        </w:rPr>
        <w:t>Administrative or Judicial Action</w:t>
      </w:r>
      <w:r>
        <w:rPr>
          <w:color w:val="000000"/>
        </w:rPr>
        <w:t>”</w:t>
      </w:r>
      <w:r>
        <w:rPr>
          <w:rFonts w:ascii="Times New Roman;serif" w:hAnsi="Times New Roman;serif"/>
          <w:b w:val="false"/>
          <w:color w:val="000000"/>
          <w:sz w:val="22"/>
        </w:rPr>
        <w:t>); or (c) an amendment to or change in any official position with respect to, or any interpretation of, an Administrative or Judicial Action or a law or regulation of the United States that differs from the previously generally accepted position or interpretation, in each case, which change or amendment or challenge becomes effective or which pronouncement, decision or challenge is announced on or after the original issue date of the 2036 Notes, there is more than an insubstantial risk that interest payable by the Company on the 2036 Notes is not, or, within 90 days of the date of such opinion, will not be, deductible by the Company, in whole or in part, for United States federal income tax purposes.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SOFR</w:t>
      </w:r>
      <w:r>
        <w:rPr>
          <w:color w:val="000000"/>
        </w:rPr>
        <w:t xml:space="preserve">” </w:t>
      </w:r>
      <w:r>
        <w:rPr>
          <w:rFonts w:ascii="Times New Roman;serif" w:hAnsi="Times New Roman;serif"/>
          <w:b w:val="false"/>
          <w:color w:val="000000"/>
          <w:sz w:val="22"/>
        </w:rPr>
        <w:t xml:space="preserve">means the forward-looking term rate based on SOFR that has been selected or recommended by the Relevant Governmental Body.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SOFR Administrator</w:t>
      </w:r>
      <w:r>
        <w:rPr>
          <w:color w:val="000000"/>
        </w:rPr>
        <w:t xml:space="preserve">” </w:t>
      </w:r>
      <w:r>
        <w:rPr>
          <w:rFonts w:ascii="Times New Roman;serif" w:hAnsi="Times New Roman;serif"/>
          <w:b w:val="false"/>
          <w:color w:val="000000"/>
          <w:sz w:val="22"/>
        </w:rPr>
        <w:t xml:space="preserve">means any entity designated by the Relevant Governmental Body as the administrator of Term SOFR (or a successor administrator).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Three-Month Term SOFR</w:t>
      </w:r>
      <w:r>
        <w:rPr>
          <w:color w:val="000000"/>
        </w:rPr>
        <w:t xml:space="preserve">” </w:t>
      </w:r>
      <w:r>
        <w:rPr>
          <w:rFonts w:ascii="Times New Roman;serif" w:hAnsi="Times New Roman;serif"/>
          <w:b w:val="false"/>
          <w:color w:val="000000"/>
          <w:sz w:val="22"/>
        </w:rPr>
        <w:t xml:space="preserve">means the rate for Term SOFR for a tenor of three months that is published by the Term SOFR Administrator at the Reference Time for any interest period, as determined by the Calculation Agent after giving effect to the Three-Month Term SOFR Conventions. All percentages used in or resulting from any calculation of Three-Month Term SOFR shall be rounded, if necessary, to the nearest one-hundred-thousandth of a percentage point, with 0.000005% rounded up to 0.00001%.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Three-Month Term SOFR Conventions</w:t>
      </w:r>
      <w:r>
        <w:rPr>
          <w:color w:val="000000"/>
        </w:rPr>
        <w:t xml:space="preserve">” </w:t>
      </w:r>
      <w:r>
        <w:rPr>
          <w:rFonts w:ascii="Times New Roman;serif" w:hAnsi="Times New Roman;serif"/>
          <w:b w:val="false"/>
          <w:color w:val="000000"/>
          <w:sz w:val="22"/>
        </w:rPr>
        <w:t>means any determination, decision or election with respect to any technical, administrative or operational matter (including with respect to the manner and timing of the publication of Three-Month Term SOFR, or changes to the definition of “</w:t>
      </w:r>
      <w:r>
        <w:rPr>
          <w:rFonts w:ascii="Times New Roman;serif" w:hAnsi="Times New Roman;serif"/>
          <w:b/>
          <w:color w:val="000000"/>
          <w:sz w:val="22"/>
        </w:rPr>
        <w:t>interest period</w:t>
      </w:r>
      <w:r>
        <w:rPr>
          <w:rFonts w:ascii="Times New Roman;serif" w:hAnsi="Times New Roman;serif"/>
          <w:b w:val="false"/>
          <w:color w:val="000000"/>
          <w:sz w:val="22"/>
        </w:rPr>
        <w:t xml:space="preserve">,” timing and frequency of determining Three-Month Term SOFR with respect to each interest period and making payments of interest, rounding of amounts or tenors, and other administrative matters) that the Calculation Agent decides may be appropriate to reflect the use of Three-Month Term SOFR as the Benchmark in a manner substantially consistent with market practice (or, if the Calculation Agent decides that adoption of any portion of such market practice is not administratively feasible or if the Calculation Agent determines that no market practice for the use of Three-Month Term SOFR exists, in such other manner as the Calculation Agent determines is reasonably necessary).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Tier 2 Capital Event</w:t>
      </w:r>
      <w:r>
        <w:rPr>
          <w:color w:val="000000"/>
        </w:rPr>
        <w:t xml:space="preserve">” </w:t>
      </w:r>
      <w:r>
        <w:rPr>
          <w:rFonts w:ascii="Times New Roman;serif" w:hAnsi="Times New Roman;serif"/>
          <w:b w:val="false"/>
          <w:color w:val="000000"/>
          <w:sz w:val="22"/>
        </w:rPr>
        <w:t>means the Company’s good faith determination that, as a result of (a) any amendment to, or change in, the laws, rules or regulations of the United States (including, for the avoidance of doubt, any agency or instrumentality of the United States, including the Federal Reserve and other federal bank regulatory agencies) or any political subdivision of or in the United States that is enacted or becomes effective after the original issue date of the 2036 Notes; (b) any proposed change in those laws, rules or regulations that is announced or becomes effective after the original issue date of the 2036 Notes; or (c) any official administrative decision or judicial decision or administrative action or other official pronouncement interpreting or applying those laws, rules, regulations, policies or guidelines with respect thereto that is announced after the original issue date of the 2036 Notes, there is more than an insubstantial risk that the Company will not be entitled to treat the 2036 Notes then outstanding as “Tier 2 Capital” (or its equivalent) for purposes of the capital adequacy rules or regulations of the Board of Governors of the Federal Reserve System (the “</w:t>
      </w:r>
      <w:r>
        <w:rPr>
          <w:rFonts w:ascii="Times New Roman;serif" w:hAnsi="Times New Roman;serif"/>
          <w:b/>
          <w:color w:val="000000"/>
          <w:sz w:val="22"/>
        </w:rPr>
        <w:t>Federal Reserve</w:t>
      </w:r>
      <w:r>
        <w:rPr>
          <w:color w:val="000000"/>
        </w:rPr>
        <w:t>”</w:t>
      </w:r>
      <w:r>
        <w:rPr>
          <w:rFonts w:ascii="Times New Roman;serif" w:hAnsi="Times New Roman;serif"/>
          <w:b w:val="false"/>
          <w:color w:val="000000"/>
          <w:sz w:val="22"/>
        </w:rPr>
        <w:t xml:space="preserve">) (or, as and if applicable, the capital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adequacy rules or regulations of any successor appropriate federal banking agency) as then in effect and applicable to the Company, for so long as any 2036 Notes are outstanding.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Unadjusted Benchmark Replacement</w:t>
      </w:r>
      <w:r>
        <w:rPr>
          <w:color w:val="000000"/>
        </w:rPr>
        <w:t xml:space="preserve">” </w:t>
      </w:r>
      <w:r>
        <w:rPr>
          <w:rFonts w:ascii="Times New Roman;serif" w:hAnsi="Times New Roman;serif"/>
          <w:b w:val="false"/>
          <w:color w:val="000000"/>
          <w:sz w:val="22"/>
        </w:rPr>
        <w:t>means the Benchmark Replacement excluding the Benchmark Replacement Adjustment.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color w:val="000000"/>
          <w:sz w:val="22"/>
        </w:rPr>
        <w:t>Section 1.1 of the Base Indenture is amended and supplemented, solely with respect to the 2036 Notes, by replacing the corresponding defined term in the Base Indenture with the following defined terms: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Business Day</w:t>
      </w:r>
      <w:r>
        <w:rPr>
          <w:color w:val="000000"/>
        </w:rPr>
        <w:t xml:space="preserve">” </w:t>
      </w:r>
      <w:r>
        <w:rPr>
          <w:rFonts w:ascii="Times New Roman;serif" w:hAnsi="Times New Roman;serif"/>
          <w:b w:val="false"/>
          <w:color w:val="000000"/>
          <w:sz w:val="22"/>
        </w:rPr>
        <w:t>means (a) each Monday, Tuesday, Wednesday, Thursday and Friday which is not a federal holiday or any day on which banking institutions in New York are authorized or obligated by law, regulation or executive order to close, or (b) a day on which the Corporate Trust Office of the Trustee is not closed for business.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Indenture</w:t>
      </w:r>
      <w:r>
        <w:rPr>
          <w:color w:val="000000"/>
        </w:rPr>
        <w:t xml:space="preserve">” </w:t>
      </w:r>
      <w:r>
        <w:rPr>
          <w:rFonts w:ascii="Times New Roman;serif" w:hAnsi="Times New Roman;serif"/>
          <w:b w:val="false"/>
          <w:color w:val="000000"/>
          <w:sz w:val="22"/>
        </w:rPr>
        <w:t>has the meaning set forth in the Recitals.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Senior Indebtedness</w:t>
      </w:r>
      <w:r>
        <w:rPr>
          <w:color w:val="000000"/>
        </w:rPr>
        <w:t xml:space="preserve">” </w:t>
      </w:r>
      <w:r>
        <w:rPr>
          <w:rFonts w:ascii="Times New Roman;serif" w:hAnsi="Times New Roman;serif"/>
          <w:b w:val="false"/>
          <w:color w:val="000000"/>
          <w:sz w:val="22"/>
        </w:rPr>
        <w:t xml:space="preserve">means any obligation of the Company to its creditors, whether now outstanding or subsequently incurred, other than any obligation where, in the instrument creating or evidencing the obligation or pursuant to which the obligation is outstanding, it is provided that the obligation is not Senior Indebtedness. Senior Indebtedness includes, without limitation: </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 xml:space="preserve">a.    the principal (and premium, if any) of and interest in respect of indebtedness of the Company for purchased or borrowed money, whether or not evidenced by securities, notes, debentures, bonds or other similar instruments issued by the Company, including obligations incurred in connection with the acquisition of property, assets or businesses; </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 xml:space="preserve">b.    all capital lease obligations of the Company; </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 xml:space="preserve">c.    all obligations of the Company issued or assumed as the deferred purchase price of property, all conditional sale obligations of the Company and all obligations of the Company under any conditional sale or title retention agreement, but excluding trade accounts payable in the ordinary course of business; </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 xml:space="preserve">d.    all obligations of the Company arising from off-balance sheet guarantees and direct credit substitutes, including obligations in respect of any letters of credit, bankers’ acceptance, security purchase facilities and similar credit transactions; </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 xml:space="preserve">e.    all obligations of the Company associated with derivative products, including obligations in respect of interest rate swap, cap or other agreements, interest rate future or options contracts, currency swap agreements, currency future or option contracts and other similar agreements; </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 xml:space="preserve">f.    all obligations of the type referred to in clauses (a) through (e) of other persons for the payment of which the Company is responsible or liable as obligor, guarantor or otherwise; </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 xml:space="preserve">g.    all obligations of the type referred to in clauses (a) through (f) of other persons secured by any lien on any property or asset of the Company whether or not such obligation is assumed by the Company; and </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 xml:space="preserve">h.    any deferrals, renewals or extensions of any obligations of the type referred to in clauses (a) through (g) above.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Senior Indebtedness does not include: </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 xml:space="preserve">a.    the 2036 Notes; </w:t>
      </w:r>
    </w:p>
    <w:p>
      <w:pPr>
        <w:pStyle w:val="TextBody"/>
        <w:bidi w:val="0"/>
        <w:spacing w:lineRule="auto" w:line="288" w:before="0" w:after="240"/>
        <w:ind w:left="0" w:right="0" w:firstLine="720"/>
        <w:jc w:val="left"/>
        <w:rPr>
          <w:color w:val="000000"/>
        </w:rPr>
      </w:pPr>
      <w:r>
        <w:rPr>
          <w:color w:val="000000"/>
        </w:rPr>
        <w:t>    </w:t>
      </w:r>
      <w:r>
        <w:rPr>
          <w:rFonts w:ascii="Times New Roman;serif" w:hAnsi="Times New Roman;serif"/>
          <w:b w:val="false"/>
          <w:color w:val="000000"/>
          <w:sz w:val="22"/>
        </w:rPr>
        <w:t>b.    trade accounts payable arising in the ordinary course of business;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any indebtedness that by its terms is subordinated to, or ranks on an equal basis with, the 2036 Notes.</w:t>
      </w:r>
    </w:p>
    <w:p>
      <w:pPr>
        <w:pStyle w:val="TextBody"/>
        <w:bidi w:val="0"/>
        <w:spacing w:lineRule="auto" w:line="240" w:before="0" w:after="240"/>
        <w:jc w:val="center"/>
        <w:rPr/>
      </w:pPr>
      <w:r>
        <w:rPr>
          <w:rFonts w:ascii="Times New Roman;serif" w:hAnsi="Times New Roman;serif"/>
          <w:b w:val="false"/>
          <w:color w:val="000000"/>
          <w:sz w:val="24"/>
        </w:rPr>
        <w:t>Article III</w:t>
      </w:r>
      <w:r>
        <w:rPr>
          <w:rFonts w:ascii="Times New Roman;serif" w:hAnsi="Times New Roman;serif"/>
          <w:b w:val="false"/>
          <w:color w:val="000000"/>
          <w:sz w:val="22"/>
        </w:rPr>
        <w:br/>
        <w:t>FORM AND TERMS OF THE 2036 Notes</w:t>
      </w:r>
    </w:p>
    <w:p>
      <w:pPr>
        <w:pStyle w:val="TextBody"/>
        <w:bidi w:val="0"/>
        <w:spacing w:lineRule="auto" w:line="240" w:before="0" w:after="240"/>
        <w:ind w:left="0" w:right="0" w:firstLine="720"/>
        <w:jc w:val="left"/>
        <w:rPr/>
      </w:pPr>
      <w:r>
        <w:rPr>
          <w:rFonts w:ascii="Times New Roman;serif" w:hAnsi="Times New Roman;serif"/>
          <w:b w:val="false"/>
          <w:color w:val="000000"/>
          <w:sz w:val="22"/>
        </w:rPr>
        <w:t>01.</w:t>
      </w:r>
      <w:r>
        <w:rPr>
          <w:rFonts w:ascii="Times New Roman;serif" w:hAnsi="Times New Roman;serif"/>
          <w:b w:val="false"/>
          <w:i/>
          <w:color w:val="000000"/>
          <w:sz w:val="22"/>
        </w:rPr>
        <w:t>Form and Dating</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color w:val="000000"/>
          <w:sz w:val="22"/>
        </w:rPr>
        <w:t xml:space="preserve">The 2036 Notes shall be substantially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 The 2036 Notes shall be executed in the name and on behalf of the Company by the manual, electronic (e.g., “.pdf” or “.tif”) signature or facsimile signature of its Chairman of the Board of Directors, its Chief Executive Officer, its President or one of its Executive Vice Presidents. Unless otherwise provided herein or in the 2036 Notes, the words “execute,” “execution,” “signed,” and “signature” and words of similar import used in or related to any document to be signed in connection with this Indenture, any 2036 Notes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 If the person whose signature is on any 2036 Notes no longer holds that office at the time the 2036 Notes are authenticated and delivered, the 2036 Notes shall nevertheless be valid.</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color w:val="000000"/>
          <w:sz w:val="22"/>
        </w:rPr>
        <w:t>The 2036 Notes may have a legend or legends or endorsements as may be required to comply with any law or with any rules of any securities exchange or usage. The 2036 Notes shall be dated the date of their authentication.</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color w:val="000000"/>
          <w:sz w:val="22"/>
        </w:rPr>
        <w:t>The terms contained in the 2036 Notes shall constitute, and are hereby expressly made, a part of the Indenture as supplemented by this Fifth Supplemental Indenture, and the Company and the Trustee, by their execution and delivery of this Fifth Supplemental Indenture, expressly agree to such terms and provisions and to be bound thereby.</w:t>
      </w:r>
    </w:p>
    <w:p>
      <w:pPr>
        <w:pStyle w:val="TextBody"/>
        <w:bidi w:val="0"/>
        <w:spacing w:lineRule="auto" w:line="240" w:before="0" w:after="240"/>
        <w:ind w:left="0" w:right="0" w:firstLine="720"/>
        <w:jc w:val="left"/>
        <w:rPr/>
      </w:pPr>
      <w:r>
        <w:rPr>
          <w:rFonts w:ascii="Times New Roman;serif" w:hAnsi="Times New Roman;serif"/>
          <w:b w:val="false"/>
          <w:color w:val="000000"/>
          <w:sz w:val="22"/>
        </w:rPr>
        <w:t>02.</w:t>
      </w:r>
      <w:r>
        <w:rPr>
          <w:rFonts w:ascii="Times New Roman;serif" w:hAnsi="Times New Roman;serif"/>
          <w:b w:val="false"/>
          <w:i/>
          <w:color w:val="000000"/>
          <w:sz w:val="22"/>
        </w:rPr>
        <w:t>Terms of the 2036 Notes</w:t>
      </w:r>
      <w:r>
        <w:rPr>
          <w:rFonts w:ascii="Times New Roman;serif" w:hAnsi="Times New Roman;serif"/>
          <w:b w:val="false"/>
          <w:color w:val="000000"/>
          <w:sz w:val="22"/>
        </w:rPr>
        <w:t>. The following terms relating to the 2036 Notes are hereby established:</w:t>
      </w:r>
    </w:p>
    <w:p>
      <w:pPr>
        <w:pStyle w:val="TextBody"/>
        <w:bidi w:val="0"/>
        <w:spacing w:lineRule="auto" w:line="240" w:before="0" w:after="240"/>
        <w:ind w:left="0" w:right="0" w:firstLine="1440"/>
        <w:jc w:val="left"/>
        <w:rPr/>
      </w:pPr>
      <w:r>
        <w:rPr>
          <w:rFonts w:ascii="Times New Roman;serif" w:hAnsi="Times New Roman;serif"/>
          <w:b w:val="false"/>
          <w:color w:val="000000"/>
          <w:sz w:val="22"/>
        </w:rPr>
        <w:t>(a)</w:t>
      </w:r>
      <w:r>
        <w:rPr>
          <w:rFonts w:ascii="Times New Roman;serif" w:hAnsi="Times New Roman;serif"/>
          <w:b w:val="false"/>
          <w:i/>
          <w:color w:val="000000"/>
          <w:sz w:val="22"/>
        </w:rPr>
        <w:t>Title</w:t>
      </w:r>
      <w:r>
        <w:rPr>
          <w:rFonts w:ascii="Times New Roman;serif" w:hAnsi="Times New Roman;serif"/>
          <w:b w:val="false"/>
          <w:color w:val="000000"/>
          <w:sz w:val="22"/>
        </w:rPr>
        <w:t>. The 2036 Notes shall constitute a series of Securities having the title “Renasant Corporation 6.25% Fixed-to-Floating Rate Subordinated Notes due 2036” and the CUSIP number 75970E AF4.</w:t>
      </w:r>
    </w:p>
    <w:p>
      <w:pPr>
        <w:pStyle w:val="TextBody"/>
        <w:bidi w:val="0"/>
        <w:spacing w:lineRule="auto" w:line="240" w:before="0" w:after="240"/>
        <w:ind w:left="0" w:right="0" w:firstLine="1440"/>
        <w:jc w:val="left"/>
        <w:rPr/>
      </w:pPr>
      <w:r>
        <w:rPr>
          <w:rFonts w:ascii="Times New Roman;serif" w:hAnsi="Times New Roman;serif"/>
          <w:b w:val="false"/>
          <w:color w:val="000000"/>
          <w:sz w:val="22"/>
        </w:rPr>
        <w:t>(b)</w:t>
      </w:r>
      <w:r>
        <w:rPr>
          <w:rFonts w:ascii="Times New Roman;serif" w:hAnsi="Times New Roman;serif"/>
          <w:b w:val="false"/>
          <w:i/>
          <w:color w:val="000000"/>
          <w:sz w:val="22"/>
        </w:rPr>
        <w:t>Principal Amount</w:t>
      </w:r>
      <w:r>
        <w:rPr>
          <w:rFonts w:ascii="Times New Roman;serif" w:hAnsi="Times New Roman;serif"/>
          <w:b w:val="false"/>
          <w:color w:val="000000"/>
          <w:sz w:val="22"/>
        </w:rPr>
        <w:t xml:space="preserve">. The aggregate principal amount of the 2036 Notes that may be authenticated and delivered under the Indenture, as amended hereby, shall be Three Hundred Million Dollars ($300,000,000) on the Issue Date. Provided that no Event of Default has occurred and is continuing with respect to the 2036 Notes, the Company may, without notice to or the consent of the Holders, create and issue additional Securities having the same terms as, and ranking equally and ratably with, the 2036 Notes in all respects and so that such additional 2036 Notes will be consolidated and form a single series with, and have the same terms as to status, redemption or otherwise as, the 2036 Notes initially issued (except for any differences in the issue price and interest accrued prior to the date of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issuance of the additional 2036 Notes), and with the same CUSIP number as the 2036 Notes, provided that such additional 2036 Notes are fungible for U.S. federal income tax purposes with the 2036 Notes.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(c)</w:t>
      </w:r>
      <w:r>
        <w:rPr>
          <w:rFonts w:ascii="Times New Roman;serif" w:hAnsi="Times New Roman;serif"/>
          <w:b w:val="false"/>
          <w:i/>
          <w:color w:val="000000"/>
          <w:sz w:val="22"/>
        </w:rPr>
        <w:t>Person to Whom Interest is Payable</w:t>
      </w:r>
      <w:r>
        <w:rPr>
          <w:rFonts w:ascii="Times New Roman;serif" w:hAnsi="Times New Roman;serif"/>
          <w:b w:val="false"/>
          <w:color w:val="000000"/>
          <w:sz w:val="22"/>
        </w:rPr>
        <w:t>. Interest payable, and punctually paid or duly provided for, on any Interest Payment Date will be paid to the person in whose name the 2036 Notes are registered for such interest at the close of business on the fifteenth calendar day of the month immediately preceding the applicable Interest Payment Date, whether or not such day is a Business Day. Any such interest which is payable, but not so punctually paid or duly provided for on any Interest Payment Date shall cease to be payable to the Holder on such relevant record date by virtue of having been a Holder on such date, and such defaulted interest may be paid by the Company to the person in whose name the 2036 Note is registered at the close of business on a special record date for the payment of such defaulted interest to be fixed by the Company, notice whereof shall be given to Holders of 2036 Notes of this series not less than 10 days prior to such special record date that complies with Section 2.13 of the Base Indenture, or be paid at any time in any other lawful manner not inconsistent with the requirements of any securities exchange on which the 2036 Notes may be listed and upon such notice as may be required by such exchange and in compliance with the Base Indenture.</w:t>
      </w:r>
    </w:p>
    <w:p>
      <w:pPr>
        <w:pStyle w:val="TextBody"/>
        <w:bidi w:val="0"/>
        <w:spacing w:lineRule="auto" w:line="240" w:before="0" w:after="240"/>
        <w:ind w:left="0" w:right="0" w:firstLine="1440"/>
        <w:jc w:val="left"/>
        <w:rPr/>
      </w:pPr>
      <w:r>
        <w:rPr>
          <w:rFonts w:ascii="Times New Roman;serif" w:hAnsi="Times New Roman;serif"/>
          <w:b w:val="false"/>
          <w:color w:val="000000"/>
          <w:sz w:val="22"/>
        </w:rPr>
        <w:t>(d)</w:t>
      </w:r>
      <w:r>
        <w:rPr>
          <w:rFonts w:ascii="Times New Roman;serif" w:hAnsi="Times New Roman;serif"/>
          <w:b w:val="false"/>
          <w:i/>
          <w:color w:val="000000"/>
          <w:sz w:val="22"/>
        </w:rPr>
        <w:t>Maturity Date</w:t>
      </w:r>
      <w:r>
        <w:rPr>
          <w:rFonts w:ascii="Times New Roman;serif" w:hAnsi="Times New Roman;serif"/>
          <w:b w:val="false"/>
          <w:color w:val="000000"/>
          <w:sz w:val="22"/>
        </w:rPr>
        <w:t>. The entire outstanding Principal of the 2036 Notes shall be payable on June 1, 2036 (the “</w:t>
      </w:r>
      <w:r>
        <w:rPr>
          <w:rFonts w:ascii="Times New Roman;serif" w:hAnsi="Times New Roman;serif"/>
          <w:b/>
          <w:color w:val="000000"/>
          <w:sz w:val="22"/>
        </w:rPr>
        <w:t>Maturity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1440"/>
        <w:jc w:val="left"/>
        <w:rPr/>
      </w:pPr>
      <w:r>
        <w:rPr>
          <w:rFonts w:ascii="Times New Roman;serif" w:hAnsi="Times New Roman;serif"/>
          <w:b w:val="false"/>
          <w:color w:val="000000"/>
          <w:sz w:val="22"/>
        </w:rPr>
        <w:t>(e)</w:t>
      </w:r>
      <w:r>
        <w:rPr>
          <w:rFonts w:ascii="Times New Roman;serif" w:hAnsi="Times New Roman;serif"/>
          <w:b w:val="false"/>
          <w:i/>
          <w:color w:val="000000"/>
          <w:sz w:val="22"/>
        </w:rPr>
        <w:t>Interest</w:t>
      </w:r>
      <w:r>
        <w:rPr>
          <w:rFonts w:ascii="Times New Roman;serif" w:hAnsi="Times New Roman;serif"/>
          <w:b w:val="false"/>
          <w:color w:val="000000"/>
          <w:sz w:val="22"/>
        </w:rPr>
        <w:t>.</w:t>
      </w:r>
    </w:p>
    <w:p>
      <w:pPr>
        <w:pStyle w:val="TextBody"/>
        <w:bidi w:val="0"/>
        <w:spacing w:lineRule="auto" w:line="240"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2"/>
        </w:rPr>
        <w:t>The 2036 Notes will bear interest at a fixed rate of 6.25% per annum from and including the Issue Date to, but excluding, June 1, 2031</w:t>
      </w:r>
      <w:r>
        <w:rPr>
          <w:color w:val="000000"/>
        </w:rPr>
        <w:t xml:space="preserve"> </w:t>
      </w:r>
      <w:r>
        <w:rPr>
          <w:rFonts w:ascii="Times New Roman;serif" w:hAnsi="Times New Roman;serif"/>
          <w:b w:val="false"/>
          <w:color w:val="000000"/>
          <w:sz w:val="22"/>
        </w:rPr>
        <w:t>or the date of earlier redemption (the “</w:t>
      </w:r>
      <w:r>
        <w:rPr>
          <w:rFonts w:ascii="Times New Roman;serif" w:hAnsi="Times New Roman;serif"/>
          <w:b/>
          <w:color w:val="000000"/>
          <w:sz w:val="22"/>
        </w:rPr>
        <w:t>Fixed Rate Period</w:t>
      </w:r>
      <w:r>
        <w:rPr>
          <w:color w:val="000000"/>
        </w:rPr>
        <w:t>”</w:t>
      </w:r>
      <w:r>
        <w:rPr>
          <w:rFonts w:ascii="Times New Roman;serif" w:hAnsi="Times New Roman;serif"/>
          <w:b w:val="false"/>
          <w:color w:val="000000"/>
          <w:sz w:val="22"/>
        </w:rPr>
        <w:t>). Interest accrued on the 2036 Notes during the Fixed Rate Period will be payable semi-annually in arrears on June 1 and December 1 of each year (each such date a “</w:t>
      </w:r>
      <w:r>
        <w:rPr>
          <w:rFonts w:ascii="Times New Roman;serif" w:hAnsi="Times New Roman;serif"/>
          <w:b/>
          <w:color w:val="000000"/>
          <w:sz w:val="22"/>
        </w:rPr>
        <w:t>Fixed Rate Interest Payment Date</w:t>
      </w:r>
      <w:r>
        <w:rPr>
          <w:color w:val="000000"/>
        </w:rPr>
        <w:t>”</w:t>
      </w:r>
      <w:r>
        <w:rPr>
          <w:rFonts w:ascii="Times New Roman;serif" w:hAnsi="Times New Roman;serif"/>
          <w:b w:val="false"/>
          <w:color w:val="000000"/>
          <w:sz w:val="22"/>
        </w:rPr>
        <w:t>), commencing on December 1, 2026. The last Fixed Rate Interest Payment Date shall be June 1, 2031, unless the 2036 Notes are earlier redeemed. The interest payable during the Fixed Rate Period will be paid to each holder in whose name a 2036 Note is registered at the close of business on the fifteenth day (whether or not a Business Day) of the month immediately preceding the applicable Fixed Rate Interest Payment Date (each such date, a “</w:t>
      </w:r>
      <w:r>
        <w:rPr>
          <w:rFonts w:ascii="Times New Roman;serif" w:hAnsi="Times New Roman;serif"/>
          <w:b/>
          <w:color w:val="000000"/>
          <w:sz w:val="22"/>
        </w:rPr>
        <w:t>Fixed Rate Regular Record Date</w:t>
      </w:r>
      <w:r>
        <w:rPr>
          <w:color w:val="000000"/>
        </w:rPr>
        <w:t>”</w:t>
      </w:r>
      <w:r>
        <w:rPr>
          <w:rFonts w:ascii="Times New Roman;serif" w:hAnsi="Times New Roman;serif"/>
          <w:b w:val="false"/>
          <w:color w:val="000000"/>
          <w:sz w:val="22"/>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2"/>
        </w:rPr>
        <w:t>The 2036 Notes will bear a floating interest rate from and including June 1, 2031 to, but excluding, the Maturity Date or earlier Redemption Date (the “</w:t>
      </w:r>
      <w:r>
        <w:rPr>
          <w:rFonts w:ascii="Times New Roman;serif" w:hAnsi="Times New Roman;serif"/>
          <w:b/>
          <w:color w:val="000000"/>
          <w:sz w:val="22"/>
        </w:rPr>
        <w:t>Floating Rate Period</w:t>
      </w:r>
      <w:r>
        <w:rPr>
          <w:color w:val="000000"/>
        </w:rPr>
        <w:t>”</w:t>
      </w:r>
      <w:r>
        <w:rPr>
          <w:rFonts w:ascii="Times New Roman;serif" w:hAnsi="Times New Roman;serif"/>
          <w:b w:val="false"/>
          <w:color w:val="000000"/>
          <w:sz w:val="22"/>
        </w:rPr>
        <w:t>). The floating interest rate will be reset quarterly, and the interest rate for any Floating Rate Period shall be equal to the Benchmark, which is expected to be the then-current Three-Month Term SOFR, plus 245 basis points for each quarterly interest period during the Floating Rate Period. During the Floating Rate Period, interest on the 2036 Notes will be payable quarterly in arrears on March 1, June 1, September 1, and December 1 of each year (each such date, a “</w:t>
      </w:r>
      <w:r>
        <w:rPr>
          <w:rFonts w:ascii="Times New Roman;serif" w:hAnsi="Times New Roman;serif"/>
          <w:b/>
          <w:color w:val="000000"/>
          <w:sz w:val="22"/>
        </w:rPr>
        <w:t>Floating Rate Interest Payment Date</w:t>
      </w:r>
      <w:r>
        <w:rPr>
          <w:color w:val="000000"/>
        </w:rPr>
        <w:t>”</w:t>
      </w:r>
      <w:r>
        <w:rPr>
          <w:rFonts w:ascii="Times New Roman;serif" w:hAnsi="Times New Roman;serif"/>
          <w:b w:val="false"/>
          <w:color w:val="000000"/>
          <w:sz w:val="22"/>
        </w:rPr>
        <w:t>, together with a Fixed Rate Interest Payment Date, an “</w:t>
      </w:r>
      <w:r>
        <w:rPr>
          <w:rFonts w:ascii="Times New Roman;serif" w:hAnsi="Times New Roman;serif"/>
          <w:b/>
          <w:color w:val="000000"/>
          <w:sz w:val="22"/>
        </w:rPr>
        <w:t>Interest Payment Date</w:t>
      </w:r>
      <w:r>
        <w:rPr>
          <w:color w:val="000000"/>
        </w:rPr>
        <w:t>”</w:t>
      </w:r>
      <w:r>
        <w:rPr>
          <w:rFonts w:ascii="Times New Roman;serif" w:hAnsi="Times New Roman;serif"/>
          <w:b w:val="false"/>
          <w:color w:val="000000"/>
          <w:sz w:val="22"/>
        </w:rPr>
        <w:t>), commencing on September 1, 2031 through the Maturity Date or Redemption Date. The interest payable during the Floating Rate Period will be paid to each holder in whose name a 2036 Note is registered at the close of business on the fifteenth day (whether or not a Business Day) of the month immediately preceding the applicable Floating Rate Interest Payment Date (each such date, a “</w:t>
      </w:r>
      <w:r>
        <w:rPr>
          <w:rFonts w:ascii="Times New Roman;serif" w:hAnsi="Times New Roman;serif"/>
          <w:b/>
          <w:color w:val="000000"/>
          <w:sz w:val="22"/>
        </w:rPr>
        <w:t>Floating Rate Regular Record Date</w:t>
      </w:r>
      <w:r>
        <w:rPr>
          <w:color w:val="000000"/>
        </w:rPr>
        <w:t>”</w:t>
      </w:r>
      <w:r>
        <w:rPr>
          <w:rFonts w:ascii="Times New Roman;serif" w:hAnsi="Times New Roman;serif"/>
          <w:b w:val="false"/>
          <w:color w:val="000000"/>
          <w:sz w:val="22"/>
        </w:rPr>
        <w:t>). Notwithstanding the foregoing, if Three-Month Term SOFR (or other applicable Benchmark) is less than zero, then Three-Month Term SOFR (or other such Benchmark) shall be deemed to be zero. The Calculation Agent (as defined below) will provide the Company and the Trustee with the interest rate in effect on the 2036 Notes promptly after the Reference Time (or such other date of determination for the applicable Benchmark).</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(iii)</w:t>
      </w:r>
      <w:r>
        <w:rPr>
          <w:rFonts w:ascii="Times New Roman;serif" w:hAnsi="Times New Roman;serif"/>
          <w:b w:val="false"/>
          <w:color w:val="000000"/>
          <w:sz w:val="22"/>
        </w:rPr>
        <w:t xml:space="preserve">The amount of interest payable on any Fixed Rate Interest Payment Date during the Fixed Rate Period will be computed on the basis of a 360-day year consisting of twelve 30-day months up to, but excluding June 1, 2031 and the amount of interest payable on any Floating Rate Interest Payment Date during the Floating Rate Period will be computed on the basis of a 360-day year and the number of days actually elapsed. The Company or the Calculation Agent, as applicable, shall calculate the amount of interest payable on any Interest Payment Date and the Trustee shall have no duty to confirm or verify any such calculation. In the event that any scheduled Interest Payment Date or the Maturity Date for the 2036 Notes falls on a day that is not a Business Day, then payment of interest payable on such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Interest Payment Date or of principal and interest payable on the Maturity Date will be paid on the next succeeding day which is a Business Day (any payment made on such date will be treated as being made on the date that the payment was first due and no interest on such payment will accrue for the period from and after such scheduled Interest Payment Date); provided, that in the event that any scheduled Floating Rate Interest Payment Date falls on a day that is not a Business Day and the next succeeding Business Day falls in the next succeeding calendar month, such Floating Rate Interest Payment Date will be accelerated to the immediately preceding Business Day, and, in each such case, the amounts payable on such Business Day will include interest accrued to but excluding such Business Day. Dollar amounts resulting from interest calculations will be rounded to the nearest cent, with one-half cent being rounded upward.</w:t>
      </w:r>
    </w:p>
    <w:p>
      <w:pPr>
        <w:pStyle w:val="TextBody"/>
        <w:bidi w:val="0"/>
        <w:spacing w:lineRule="auto" w:line="240" w:before="0" w:after="240"/>
        <w:ind w:left="0" w:right="0" w:firstLine="2160"/>
        <w:jc w:val="left"/>
        <w:rPr/>
      </w:pPr>
      <w:r>
        <w:rPr>
          <w:rFonts w:ascii="Times New Roman;serif" w:hAnsi="Times New Roman;serif"/>
          <w:b w:val="false"/>
          <w:color w:val="000000"/>
          <w:sz w:val="22"/>
        </w:rPr>
        <w:t>(iv)</w:t>
      </w:r>
      <w:r>
        <w:rPr>
          <w:rFonts w:ascii="Times New Roman;serif" w:hAnsi="Times New Roman;serif"/>
          <w:b w:val="false"/>
          <w:color w:val="000000"/>
          <w:sz w:val="22"/>
        </w:rPr>
        <w:t>The Company shall take such actions as are necessary to ensure that, from the commencement of the Floating Rate Period, for so long as any of the 2036 Notes are outstanding, there will at all times be a calculation agent appointed by the Company to calculate Three-Month Term SOFR in respect of each Floating Rate Period (the “</w:t>
      </w:r>
      <w:r>
        <w:rPr>
          <w:rFonts w:ascii="Times New Roman;serif" w:hAnsi="Times New Roman;serif"/>
          <w:b/>
          <w:color w:val="000000"/>
          <w:sz w:val="22"/>
        </w:rPr>
        <w:t>Calculation Agent</w:t>
      </w:r>
      <w:r>
        <w:rPr>
          <w:color w:val="000000"/>
        </w:rPr>
        <w:t>”</w:t>
      </w:r>
      <w:r>
        <w:rPr>
          <w:rFonts w:ascii="Times New Roman;serif" w:hAnsi="Times New Roman;serif"/>
          <w:b w:val="false"/>
          <w:color w:val="000000"/>
          <w:sz w:val="22"/>
        </w:rPr>
        <w:t xml:space="preserve">). The calculation of Three-Month Term SOFR for each applicable Floating Rate Period by the Calculation Agent will (in the absence of manifest error) be final and binding. The Calculation Agent’s determination of any interest rate and its calculation of interest payments for any period will be maintained on file at the Calculation Agent’s principal offices, will be made available to any Holder of the Notes upon request and will be provided to the Trustee. The Calculation Agent shall have all the rights, protections and indemnities afforded to the Trustee under the Base Indenture and hereunder. The Company will act as the initial Calculation Agent. The Calculation Agent may be removed by the Company at any time. If the Calculation Agent is unable or unwilling to act as Calculation Agent or is removed by the Company, the Company will promptly appoint a replacement Calculation Agent. The Calculation Agent may not resign its duties without a successor having been duly appointed; provided, that if a successor Calculation Agent has not been appointed by the Company and such successor accepted such position within 30 days after the giving of notice of resignation by the Calculation Agent, the resigning Calculation Agent may petition, at the expense of the Company, any court of competent jurisdiction for the appointment of a successor Calculation Agent with respect to such series. The Trustee will not be under any duty to succeed to, assume or otherwise perform any of the duties of the Calculation Agent, or to appoint a successor or replacement in the event of the Calculation Agent’s resignation or removal or to replace the Calculation Agent in the event of a default, breach or failure of performance on the part of the Calculation Agent with respect to the Calculation Agent’s duties and obligations hereunder. For the avoidance of doubt, if at any time there is no Calculation Agent appointed by the Company, then the Company shall be the Calculation Agent. The Company may appoint itself or any of its Affiliates to be the Calculation Agent. The Calculation Agent’s calculation of the amount of any interest payable on any Interest Payment Date will be maintained on file at the Calculation Agent’s principal offices, and will be made available to any Holder of the 2036 Notes upon request and will be provided to the Trustee. </w:t>
      </w:r>
    </w:p>
    <w:p>
      <w:pPr>
        <w:pStyle w:val="TextBody"/>
        <w:bidi w:val="0"/>
        <w:spacing w:lineRule="auto" w:line="240" w:before="0" w:after="240"/>
        <w:ind w:left="0" w:right="0" w:firstLine="1440"/>
        <w:jc w:val="left"/>
        <w:rPr/>
      </w:pPr>
      <w:r>
        <w:rPr>
          <w:rFonts w:ascii="Times New Roman;serif" w:hAnsi="Times New Roman;serif"/>
          <w:b w:val="false"/>
          <w:color w:val="000000"/>
          <w:sz w:val="22"/>
        </w:rPr>
        <w:t>(f)</w:t>
      </w:r>
      <w:r>
        <w:rPr>
          <w:rFonts w:ascii="Times New Roman;serif" w:hAnsi="Times New Roman;serif"/>
          <w:b w:val="false"/>
          <w:i/>
          <w:color w:val="000000"/>
          <w:sz w:val="22"/>
        </w:rPr>
        <w:t>Effect of Benchmark Transition Event.</w:t>
      </w:r>
      <w:r>
        <w:rPr>
          <w:color w:val="000000"/>
        </w:rPr>
        <w:t xml:space="preserve"> </w:t>
      </w:r>
    </w:p>
    <w:p>
      <w:pPr>
        <w:pStyle w:val="TextBody"/>
        <w:bidi w:val="0"/>
        <w:spacing w:lineRule="auto" w:line="240"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2"/>
        </w:rPr>
        <w:t xml:space="preserve">If the Calculation Agent determines that a Benchmark Transition Event and its related Benchmark Replacement Date have occurred on or prior to the Reference Time in respect of any determination of the Benchmark on any date, then the Benchmark Replacement will replace the then-current Benchmark for all purposes relating to the 2036 Notes during the Floating Rate Period in respect of such determination on such date and all determinations on all subsequent dates. In connection with the implementation of a Benchmark Replacement, the Calculation Agent will have the right to make Benchmark Replacement Conforming Changes from time to time. </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2"/>
        </w:rPr>
        <w:t>Notwithstanding anything set forth in Section 3.02(e)(ii) above, if the Calculation Agent determines on or prior to the relevant Reference Time that a Benchmark Transition Event and its related Benchmark Replacement Date have occurred with respect to Three-Month Term SOFR, then the provisions set forth in this Section 3.02(f) will thereafter apply to all subsequent determinations of the interest rate on the 2036 Notes during the Floating Rate Period. After a Benchmark Transition Event and its related Benchmark Replacement Date have occurred, the interest rate on the 2036 Notes for each interest period during the Floating Rate Period will subsequently be an annual rate equal to the Benchmark Replacement plus 191 basis points.</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ind w:left="0" w:right="0" w:firstLine="2160"/>
        <w:jc w:val="left"/>
        <w:rPr/>
      </w:pPr>
      <w:r>
        <w:rPr>
          <w:rFonts w:ascii="Times New Roman;serif" w:hAnsi="Times New Roman;serif"/>
          <w:b w:val="false"/>
          <w:color w:val="000000"/>
          <w:sz w:val="22"/>
        </w:rPr>
        <w:t>(iii)</w:t>
      </w:r>
      <w:r>
        <w:rPr>
          <w:rFonts w:ascii="Times New Roman;serif" w:hAnsi="Times New Roman;serif"/>
          <w:b w:val="false"/>
          <w:color w:val="000000"/>
          <w:sz w:val="22"/>
        </w:rPr>
        <w:t xml:space="preserve">The Calculation Agent is expressly authorized to make certain determinations, decisions and elections under the terms of the 2036 Notes, including with respect to the use of Three-Month Term SOFR as the Benchmark and under this Section 3.02(f). Any determination, decision or election that may be made by the Calculation Agent under the terms of the 2036 Notes, including any determination with respect to a tenor, rate or adjustment or of the occurrence or non-occurrence of an event, circumstance or date and any decision to take or refrain from taking any action or selection (A) will be conclusive and binding on the Holders of the 2036 Notes and the Trustee absent manifest error, (B) if made by the Company as Calculation Agent, will be made in the Company’s sole discretion, (C) if made by a Calculation Agent other than the Company, will be made after consultation with the Company, and the Calculation Agent will not make any such determination, decision or election to which the Company reasonably objects and (D) notwithstanding anything to the contrary herein or in the Base Indenture, shall become effective without consent from the Holders of the 2036 Notes, the Trustee or any other party. If the Calculation Agent fails to make any determination, decision or election that it is required to make under the terms of the 2036 Notes, then the Company will make such determination, decision or election on the same basis as described above. </w:t>
      </w:r>
    </w:p>
    <w:p>
      <w:pPr>
        <w:pStyle w:val="TextBody"/>
        <w:bidi w:val="0"/>
        <w:spacing w:lineRule="auto" w:line="240" w:before="0" w:after="240"/>
        <w:ind w:left="0" w:right="0" w:firstLine="2160"/>
        <w:jc w:val="left"/>
        <w:rPr/>
      </w:pPr>
      <w:r>
        <w:rPr>
          <w:rFonts w:ascii="Times New Roman;serif" w:hAnsi="Times New Roman;serif"/>
          <w:b w:val="false"/>
          <w:color w:val="000000"/>
          <w:sz w:val="22"/>
        </w:rPr>
        <w:t>(iv)</w:t>
      </w:r>
      <w:r>
        <w:rPr>
          <w:rFonts w:ascii="Times New Roman;serif" w:hAnsi="Times New Roman;serif"/>
          <w:b w:val="false"/>
          <w:color w:val="000000"/>
          <w:sz w:val="22"/>
        </w:rPr>
        <w:t xml:space="preserve">The Company (or its Calculation Agent) shall notify the Trustee in writing (i) upon the occurrence of the Benchmark Transition Event or the Benchmark Replacement Date, and (ii) of any Benchmark Replacements, Benchmark Replacement Conforming Changes and other items affecting the interest rate on the 2036 Notes after a Benchmark Transition Event. </w:t>
      </w:r>
    </w:p>
    <w:p>
      <w:pPr>
        <w:pStyle w:val="TextBody"/>
        <w:bidi w:val="0"/>
        <w:spacing w:lineRule="auto" w:line="240" w:before="0" w:after="240"/>
        <w:ind w:left="0" w:right="0" w:firstLine="2160"/>
        <w:jc w:val="left"/>
        <w:rPr/>
      </w:pPr>
      <w:r>
        <w:rPr>
          <w:rFonts w:ascii="Times New Roman;serif" w:hAnsi="Times New Roman;serif"/>
          <w:b w:val="false"/>
          <w:color w:val="000000"/>
          <w:sz w:val="22"/>
        </w:rPr>
        <w:t>(v)</w:t>
      </w:r>
      <w:r>
        <w:rPr>
          <w:rFonts w:ascii="Times New Roman;serif" w:hAnsi="Times New Roman;serif"/>
          <w:b w:val="false"/>
          <w:color w:val="000000"/>
          <w:sz w:val="22"/>
        </w:rPr>
        <w:t xml:space="preserve">The Trustee (including in its capacity as Paying Agent) shall have no (A) responsibility or liability for the (w) Three-Month Term SOFR Conventions, (x) selection of an alternative reference rate to Three-Month Term SOFR (including, without limitation, whether the conditions for the designation of such rate have been satisfied or whether such rate is a Benchmark Replacement or an Unadjusted Benchmark Replacement), (y) determination or calculation of a Benchmark Replacement, or (z) determination of whether a Benchmark Transition Event or Benchmark Replacement Date has occurred, and in each such case under clauses (w) through (z) above shall be entitled to conclusively rely upon the selection, determination, and/or calculation thereof as provided by the Company or its Calculation Agent, as applicable, and (B) liability for any failure or delay in performing its duties hereunder as a result of the unavailability of a Benchmark rate as described in the definition thereof, including, without limitation, as a result of the Company’s or Calculation Agent’s failure to select a Benchmark Replacement or the Calculation Agent’s failure to calculate a Benchmark. The Trustee shall be entitled to rely conclusively on all notices from the Company or its Calculation Agent regarding any Benchmark or Benchmark Replacement, including, without limitation, in regards to Three-Month Term SOFR Conventions, a Benchmark Transition Event, Benchmark Replacement Date, and Benchmark Replacement Conforming Changes. The Trustee shall not be responsible or liable for the actions or omissions of the Calculation Agent, or any failure or delay in the performance of the Calculation Agent’s duties or obligations, nor shall it be under any obligation to monitor or oversee the performance of the Calculation Agent. The Trustee shall be entitled to conclusively rely on any determination made, and any instruction, notice, Officers’ Certificate or other instruction or information provided by the Calculation Agent without independent verification, investigation or inquiry of any kind. The Trustee shall not be obligated to enter into any amendment or supplement hereto that adversely impacts its rights, duties, obligations, immunities or liabilities (including, without limitation, in connection with the adoption of any Benchmark Replacement Conforming Changes). </w:t>
      </w:r>
    </w:p>
    <w:p>
      <w:pPr>
        <w:pStyle w:val="TextBody"/>
        <w:bidi w:val="0"/>
        <w:spacing w:lineRule="auto" w:line="240" w:before="0" w:after="240"/>
        <w:ind w:left="0" w:right="0" w:firstLine="2160"/>
        <w:jc w:val="left"/>
        <w:rPr/>
      </w:pPr>
      <w:r>
        <w:rPr>
          <w:rFonts w:ascii="Times New Roman;serif" w:hAnsi="Times New Roman;serif"/>
          <w:b w:val="false"/>
          <w:color w:val="000000"/>
          <w:sz w:val="22"/>
        </w:rPr>
        <w:t>(vi)</w:t>
      </w:r>
      <w:r>
        <w:rPr>
          <w:rFonts w:ascii="Times New Roman;serif" w:hAnsi="Times New Roman;serif"/>
          <w:b w:val="false"/>
          <w:color w:val="000000"/>
          <w:sz w:val="22"/>
        </w:rPr>
        <w:t>If the then-current Benchmark is Three-Month Term SOFR, the Calculation Agent will have the right to establish the Three-Month Term SOFR Conventions, and if any of the foregoing provisions concerning the calculation of the interest rate and the payment of interest during the Floating Rate Period are inconsistent with any of the Three-Month Term SOFR Conventions determined by the Calculation Agent, then the relevant Three-Month Term SOFR Conventions will apply.</w:t>
      </w:r>
    </w:p>
    <w:p>
      <w:pPr>
        <w:pStyle w:val="TextBody"/>
        <w:bidi w:val="0"/>
        <w:spacing w:lineRule="auto" w:line="240" w:before="0" w:after="240"/>
        <w:ind w:left="0" w:right="0" w:firstLine="1440"/>
        <w:jc w:val="left"/>
        <w:rPr/>
      </w:pPr>
      <w:r>
        <w:rPr>
          <w:rFonts w:ascii="Times New Roman;serif" w:hAnsi="Times New Roman;serif"/>
          <w:b w:val="false"/>
          <w:color w:val="000000"/>
          <w:sz w:val="22"/>
        </w:rPr>
        <w:t>(g)</w:t>
      </w:r>
      <w:r>
        <w:rPr>
          <w:rFonts w:ascii="Times New Roman;serif" w:hAnsi="Times New Roman;serif"/>
          <w:b w:val="false"/>
          <w:i/>
          <w:color w:val="000000"/>
          <w:sz w:val="22"/>
        </w:rPr>
        <w:t>Place of Payment of Principal and Interest</w:t>
      </w:r>
      <w:r>
        <w:rPr>
          <w:rFonts w:ascii="Times New Roman;serif" w:hAnsi="Times New Roman;serif"/>
          <w:b w:val="false"/>
          <w:color w:val="000000"/>
          <w:sz w:val="22"/>
        </w:rPr>
        <w:t xml:space="preserve">. So long as the 2036 Notes shall be issued in global form, the Company shall make, or cause the Paying Agent to make, all payments of principal and interest on the 2036 Notes by wire transfer in immediately available funds to the Depository or its nominee, in accordance with applicable procedures of the Depository. If the 2036 Notes are not in global form, the Company, may, at its option, make, or cause the Paying Agent to make, payments of principal and interest on the 2036 Notes by check mailed to the address of the person specified for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payment in accordance with Section 3.02(e)(i) and (e)(ii) above. A global security with respect to the 2036 Notes shall be exchangeable for physical securities of such series only if:</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2"/>
        </w:rPr>
        <w:t>The Depository is at any time unwilling or unable or ineligible to continue as a depository or ceases to be a clearing agency registered under the Exchange Act and a successor depository is not appointed by the Company within 90 days of the date the Company is so notified in writing;</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2"/>
        </w:rPr>
        <w:t>The Company executes and delivers to the Trustee a Company Order to the effect that such global securities shall be so exchangeable (and the Trustee consents thereto); or</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2"/>
        </w:rPr>
        <w:t>An Event of Default has occurred and is continuing with respect to the global securities and a Holder requests such exchange.</w:t>
      </w:r>
    </w:p>
    <w:p>
      <w:pPr>
        <w:pStyle w:val="TextBody"/>
        <w:bidi w:val="0"/>
        <w:spacing w:lineRule="auto" w:line="240" w:before="0" w:after="240"/>
        <w:ind w:left="0" w:right="0" w:firstLine="1440"/>
        <w:jc w:val="left"/>
        <w:rPr/>
      </w:pPr>
      <w:r>
        <w:rPr>
          <w:rFonts w:ascii="Times New Roman;serif" w:hAnsi="Times New Roman;serif"/>
          <w:b w:val="false"/>
          <w:color w:val="000000"/>
          <w:sz w:val="22"/>
        </w:rPr>
        <w:t>(h)</w:t>
      </w:r>
      <w:r>
        <w:rPr>
          <w:rFonts w:ascii="Times New Roman;serif" w:hAnsi="Times New Roman;serif"/>
          <w:b w:val="false"/>
          <w:i/>
          <w:color w:val="000000"/>
          <w:sz w:val="22"/>
        </w:rPr>
        <w:t>Redemption</w:t>
      </w:r>
      <w:r>
        <w:rPr>
          <w:rFonts w:ascii="Times New Roman;serif" w:hAnsi="Times New Roman;serif"/>
          <w:b w:val="false"/>
          <w:color w:val="000000"/>
          <w:sz w:val="22"/>
        </w:rPr>
        <w:t>. The 2036 Notes shall be redeemable, in each case, in whole or in part from time to time, at the option of the Company prior to the Maturity Date beginning with the Interest Payment Date on June 1, 2031 and on any date thereafter (each, a “</w:t>
      </w:r>
      <w:r>
        <w:rPr>
          <w:rFonts w:ascii="Times New Roman;serif" w:hAnsi="Times New Roman;serif"/>
          <w:b/>
          <w:color w:val="000000"/>
          <w:sz w:val="22"/>
        </w:rPr>
        <w:t>Redemption Date</w:t>
      </w:r>
      <w:r>
        <w:rPr>
          <w:color w:val="000000"/>
        </w:rPr>
        <w:t>”</w:t>
      </w:r>
      <w:r>
        <w:rPr>
          <w:rFonts w:ascii="Times New Roman;serif" w:hAnsi="Times New Roman;serif"/>
          <w:b w:val="false"/>
          <w:color w:val="000000"/>
          <w:sz w:val="22"/>
        </w:rPr>
        <w:t>) subject to obtaining the prior approval of the Federal Reserve to the extent such approval is required under the rules of the Federal Reserve (or, as and if applicable, the rules of any appropriate successor bank regulatory agency). The 2036 Notes may not otherwise be redeemed prior to the Maturity Date, except that the Company may, at its option, redeem the 2036 Notes before the Maturity Date in whole but not in part from time to time, subject to obtaining the prior approval of the Federal Reserve to the extent such approval is then required under the rules of the Federal Reserve (or, as and if applicable, the rules of any appropriate successor bank regulatory agency), upon the occurrence of a Tier 2 Capital Event or a Tax Event, or if the Company is required to register as an investment company pursuant to the Investment Company Act of 1940, as amended (15 U.S.C. 80a-1 et seq.). Any such redemption will be at a Redemption Price equal to 100% of the principal amount of the 2036 Notes to be redeemed, plus accrued and unpaid interest to, but excluding, the Redemption Date fixed by the Company. The provisions of Article III of the Base Indenture shall apply to any redemption of the 2036 Notes pursuant to this Article 3, provided that a notice of redemption shall be delivered to holders of the 2036 Notes (with a copy to the Trustee) not less than 10 nor more than 60 days prior to the Redemption Date. Any partial redemption will be made in accordance with The Depository Trust Company’s (“</w:t>
      </w:r>
      <w:r>
        <w:rPr>
          <w:rFonts w:ascii="Times New Roman;serif" w:hAnsi="Times New Roman;serif"/>
          <w:b/>
          <w:color w:val="000000"/>
          <w:sz w:val="22"/>
        </w:rPr>
        <w:t>DTC</w:t>
      </w:r>
      <w:r>
        <w:rPr>
          <w:color w:val="000000"/>
        </w:rPr>
        <w:t>”</w:t>
      </w:r>
      <w:r>
        <w:rPr>
          <w:rFonts w:ascii="Times New Roman;serif" w:hAnsi="Times New Roman;serif"/>
          <w:b w:val="false"/>
          <w:color w:val="000000"/>
          <w:sz w:val="22"/>
        </w:rPr>
        <w:t>) applicable procedures among all of the Holders of the 2036 Notes. If any 2036 Note is to be redeemed in part only, the notice of redemption relating to such 2036 Note shall state that it is a partial redemption and the portion of the principal amount thereof to be redeemed, and a replacement 2036 Note in principal amount equal to the unredeemed portion thereof will be issued in the name of the Holder thereof upon cancellation of the original 2036 Note. Any notice of redemption may be conditional in the Company’s discretion on one or more conditions precedent, and the Redemption Date may be delayed until such time as any or all of such conditions have been satisfied or revoked by the Company if it determines that such conditions will not be satisfied.</w:t>
      </w:r>
    </w:p>
    <w:p>
      <w:pPr>
        <w:pStyle w:val="TextBody"/>
        <w:bidi w:val="0"/>
        <w:spacing w:lineRule="auto" w:line="240" w:before="0" w:after="240"/>
        <w:ind w:left="0" w:right="0" w:firstLine="1440"/>
        <w:jc w:val="left"/>
        <w:rPr/>
      </w:pPr>
      <w:r>
        <w:rPr>
          <w:rFonts w:ascii="Times New Roman;serif" w:hAnsi="Times New Roman;serif"/>
          <w:b w:val="false"/>
          <w:color w:val="000000"/>
          <w:sz w:val="22"/>
        </w:rPr>
        <w:t>(i)</w:t>
      </w:r>
      <w:r>
        <w:rPr>
          <w:rFonts w:ascii="Times New Roman;serif" w:hAnsi="Times New Roman;serif"/>
          <w:b w:val="false"/>
          <w:i/>
          <w:color w:val="000000"/>
          <w:sz w:val="22"/>
        </w:rPr>
        <w:t>No Repayment or Sinking Fund</w:t>
      </w:r>
      <w:r>
        <w:rPr>
          <w:rFonts w:ascii="Times New Roman;serif" w:hAnsi="Times New Roman;serif"/>
          <w:b w:val="false"/>
          <w:color w:val="000000"/>
          <w:sz w:val="22"/>
        </w:rPr>
        <w:t>. The 2036 Notes will not be subject to redemption or repayment at the option of any Holder at any time prior to the Maturity Date. There shall be no sinking fund for the 2036 Notes.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(j)</w:t>
      </w:r>
      <w:r>
        <w:rPr>
          <w:rFonts w:ascii="Times New Roman;serif" w:hAnsi="Times New Roman;serif"/>
          <w:b w:val="false"/>
          <w:i/>
          <w:color w:val="000000"/>
          <w:sz w:val="22"/>
        </w:rPr>
        <w:t>Notes Not Convertible or Exchangeable.</w:t>
      </w:r>
      <w:r>
        <w:rPr>
          <w:color w:val="000000"/>
        </w:rPr>
        <w:t xml:space="preserve"> </w:t>
      </w:r>
      <w:r>
        <w:rPr>
          <w:rFonts w:ascii="Times New Roman;serif" w:hAnsi="Times New Roman;serif"/>
          <w:b w:val="false"/>
          <w:color w:val="000000"/>
          <w:sz w:val="22"/>
        </w:rPr>
        <w:t>The 2036 Notes will not be convertible into or exchangeable for equity securities, other securities, or assets or property of the Company or its subsidiaries.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(k)</w:t>
      </w:r>
      <w:r>
        <w:rPr>
          <w:rFonts w:ascii="Times New Roman;serif" w:hAnsi="Times New Roman;serif"/>
          <w:b w:val="false"/>
          <w:i/>
          <w:color w:val="000000"/>
          <w:sz w:val="22"/>
        </w:rPr>
        <w:t>Denomination</w:t>
      </w:r>
      <w:r>
        <w:rPr>
          <w:rFonts w:ascii="Times New Roman;serif" w:hAnsi="Times New Roman;serif"/>
          <w:b w:val="false"/>
          <w:color w:val="000000"/>
          <w:sz w:val="22"/>
        </w:rPr>
        <w:t>. The 2036 Notes and any beneficial interest in the 2036 Notes shall be in minimum denominations of $1,000 and integral multiples of $1,000 in excess thereof.</w:t>
      </w:r>
    </w:p>
    <w:p>
      <w:pPr>
        <w:pStyle w:val="TextBody"/>
        <w:bidi w:val="0"/>
        <w:spacing w:lineRule="auto" w:line="240" w:before="0" w:after="240"/>
        <w:ind w:left="0" w:right="0" w:firstLine="1440"/>
        <w:jc w:val="left"/>
        <w:rPr/>
      </w:pPr>
      <w:r>
        <w:rPr>
          <w:rFonts w:ascii="Times New Roman;serif" w:hAnsi="Times New Roman;serif"/>
          <w:b w:val="false"/>
          <w:color w:val="000000"/>
          <w:sz w:val="22"/>
        </w:rPr>
        <w:t>(l)</w:t>
      </w:r>
      <w:r>
        <w:rPr>
          <w:rFonts w:ascii="Times New Roman;serif" w:hAnsi="Times New Roman;serif"/>
          <w:b w:val="false"/>
          <w:i/>
          <w:color w:val="000000"/>
          <w:sz w:val="22"/>
        </w:rPr>
        <w:t>Currency of the 2036 Notes</w:t>
      </w:r>
      <w:r>
        <w:rPr>
          <w:rFonts w:ascii="Times New Roman;serif" w:hAnsi="Times New Roman;serif"/>
          <w:b w:val="false"/>
          <w:color w:val="000000"/>
          <w:sz w:val="22"/>
        </w:rPr>
        <w:t>. The 2036 Notes shall be denominated, and payment of principal and interest of the 2036 Notes shall be payable in, the currency of the United States of America.</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ind w:left="0" w:right="0" w:firstLine="1440"/>
        <w:jc w:val="left"/>
        <w:rPr/>
      </w:pPr>
      <w:r>
        <w:rPr>
          <w:rFonts w:ascii="Times New Roman;serif" w:hAnsi="Times New Roman;serif"/>
          <w:b w:val="false"/>
          <w:color w:val="000000"/>
          <w:sz w:val="22"/>
        </w:rPr>
        <w:t>(m)</w:t>
      </w:r>
      <w:r>
        <w:rPr>
          <w:rFonts w:ascii="Times New Roman;serif" w:hAnsi="Times New Roman;serif"/>
          <w:b w:val="false"/>
          <w:i/>
          <w:color w:val="000000"/>
          <w:sz w:val="22"/>
        </w:rPr>
        <w:t>No Additional Amounts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In the event that any payment on the 2036 Notes is subject to withholding of any U.S. federal income tax or other tax or assessment (as a result of a change in law or otherwise), the Company will not pay additional amounts with respect to such tax or assessment.</w:t>
      </w:r>
    </w:p>
    <w:p>
      <w:pPr>
        <w:pStyle w:val="TextBody"/>
        <w:bidi w:val="0"/>
        <w:spacing w:lineRule="auto" w:line="240" w:before="0" w:after="240"/>
        <w:ind w:left="0" w:right="0" w:firstLine="1440"/>
        <w:jc w:val="left"/>
        <w:rPr/>
      </w:pPr>
      <w:r>
        <w:rPr>
          <w:rFonts w:ascii="Times New Roman;serif" w:hAnsi="Times New Roman;serif"/>
          <w:b w:val="false"/>
          <w:color w:val="000000"/>
          <w:sz w:val="22"/>
        </w:rPr>
        <w:t>(n)</w:t>
      </w:r>
      <w:r>
        <w:rPr>
          <w:rFonts w:ascii="Times New Roman;serif" w:hAnsi="Times New Roman;serif"/>
          <w:b w:val="false"/>
          <w:i/>
          <w:color w:val="000000"/>
          <w:sz w:val="22"/>
        </w:rPr>
        <w:t>Acceleration</w:t>
      </w:r>
      <w:r>
        <w:rPr>
          <w:rFonts w:ascii="Times New Roman;serif" w:hAnsi="Times New Roman;serif"/>
          <w:b w:val="false"/>
          <w:color w:val="000000"/>
          <w:sz w:val="22"/>
        </w:rPr>
        <w:t>. Neither the Trustee nor the Holders of the 2036 Notes shall have the right to accelerate the maturity of the 2036 Notes unless there is an Event of Default specified under clause (e), (f) or (g) of Section 6.1 (as amended herein) of the Base Indenture. If an Event of Default specified in clause (e), (f) or (g) of Section 6.1 (as amended herein) of the Base Indenture occurs, then the principal amount of all of the outstanding 2036 Notes, including any accrued and unpaid interest on the 2036 Notes and premium, if any, shall automatically become and be immediately due and payable without any declaration or other act on the part of the Trustee or the Holders of the 2036 Notes in accordance with the provisions of Section 6.2 of the Base Indenture.</w:t>
      </w:r>
    </w:p>
    <w:p>
      <w:pPr>
        <w:pStyle w:val="TextBody"/>
        <w:bidi w:val="0"/>
        <w:spacing w:lineRule="auto" w:line="240" w:before="0" w:after="240"/>
        <w:ind w:left="0" w:right="0" w:firstLine="1440"/>
        <w:jc w:val="left"/>
        <w:rPr/>
      </w:pPr>
      <w:r>
        <w:rPr>
          <w:rFonts w:ascii="Times New Roman;serif" w:hAnsi="Times New Roman;serif"/>
          <w:b w:val="false"/>
          <w:color w:val="000000"/>
          <w:sz w:val="22"/>
        </w:rPr>
        <w:t>(o)</w:t>
      </w:r>
      <w:r>
        <w:rPr>
          <w:rFonts w:ascii="Times New Roman;serif" w:hAnsi="Times New Roman;serif"/>
          <w:b w:val="false"/>
          <w:i/>
          <w:color w:val="000000"/>
          <w:sz w:val="22"/>
        </w:rPr>
        <w:t>Registered Form</w:t>
      </w:r>
      <w:r>
        <w:rPr>
          <w:rFonts w:ascii="Times New Roman;serif" w:hAnsi="Times New Roman;serif"/>
          <w:b w:val="false"/>
          <w:color w:val="000000"/>
          <w:sz w:val="22"/>
        </w:rPr>
        <w:t>. The 2036 Notes shall be issuable as registered global Securities, and the Depository for the 2036 Notes shall be the DTC or any successor Depository appointed by the Company within 90 days of the termination of services of DTC (or any successor to DTC). Sections 2.11 and 2.13 of the Base Indenture shall apply to the 2036 Notes.</w:t>
      </w:r>
    </w:p>
    <w:p>
      <w:pPr>
        <w:pStyle w:val="TextBody"/>
        <w:bidi w:val="0"/>
        <w:spacing w:lineRule="auto" w:line="240" w:before="0" w:after="240"/>
        <w:ind w:left="0" w:right="0" w:firstLine="1440"/>
        <w:jc w:val="left"/>
        <w:rPr/>
      </w:pPr>
      <w:r>
        <w:rPr>
          <w:rFonts w:ascii="Times New Roman;serif" w:hAnsi="Times New Roman;serif"/>
          <w:b w:val="false"/>
          <w:color w:val="000000"/>
          <w:sz w:val="22"/>
        </w:rPr>
        <w:t>(p)</w:t>
      </w:r>
      <w:r>
        <w:rPr>
          <w:rFonts w:ascii="Times New Roman;serif" w:hAnsi="Times New Roman;serif"/>
          <w:b w:val="false"/>
          <w:i/>
          <w:color w:val="000000"/>
          <w:sz w:val="22"/>
        </w:rPr>
        <w:t>Events of Default</w:t>
      </w:r>
      <w:r>
        <w:rPr>
          <w:rFonts w:ascii="Times New Roman;serif" w:hAnsi="Times New Roman;serif"/>
          <w:b w:val="false"/>
          <w:color w:val="000000"/>
          <w:sz w:val="22"/>
        </w:rPr>
        <w:t xml:space="preserve">. The Events of Default provided for in Section 6.1 of the Base Indenture shall apply to the 2036 Notes, provided that: </w:t>
      </w:r>
    </w:p>
    <w:p>
      <w:pPr>
        <w:pStyle w:val="TextBody"/>
        <w:bidi w:val="0"/>
        <w:spacing w:lineRule="auto" w:line="240" w:before="0" w:after="240"/>
        <w:ind w:left="0" w:right="0" w:firstLine="2160"/>
        <w:jc w:val="left"/>
        <w:rPr/>
      </w:pPr>
      <w:r>
        <w:rPr>
          <w:rFonts w:ascii="Times New Roman;serif" w:hAnsi="Times New Roman;serif"/>
          <w:b w:val="false"/>
          <w:color w:val="000000"/>
          <w:sz w:val="22"/>
        </w:rPr>
        <w:t>(i)</w:t>
      </w:r>
      <w:r>
        <w:rPr>
          <w:rFonts w:ascii="Times New Roman;serif" w:hAnsi="Times New Roman;serif"/>
          <w:b w:val="false"/>
          <w:color w:val="000000"/>
          <w:sz w:val="22"/>
        </w:rPr>
        <w:t>the text of clause (c) of Section 6.1 of the Base Indenture is deleted and replaced with the word “Reserved”;</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w:t>
      </w:r>
      <w:r>
        <w:rPr>
          <w:rFonts w:ascii="Times New Roman;serif" w:hAnsi="Times New Roman;serif"/>
          <w:b w:val="false"/>
          <w:color w:val="000000"/>
          <w:sz w:val="22"/>
        </w:rPr>
        <w:t xml:space="preserve">the text of clause (g) of Section 6.1 of the Base Indenture shall be substituted with the following: </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(g) the appointment by a competent government agency having primary regulatory authority over any Major Constituent Bank under any applicable federal or state banking, insolvency or similar law now or hereafter in effect of a Custodian of any such Major Constituent Bank or (ii) the entry of a decree or order in any case or proceeding under any applicable federal or state banking, insolvency or other similar law now or hereafter in effect appointing any receiver of any Major Constituent Bank;”</w:t>
      </w:r>
    </w:p>
    <w:p>
      <w:pPr>
        <w:pStyle w:val="TextBody"/>
        <w:bidi w:val="0"/>
        <w:spacing w:lineRule="auto" w:line="240" w:before="0" w:after="240"/>
        <w:ind w:left="0" w:right="0" w:firstLine="2160"/>
        <w:jc w:val="left"/>
        <w:rPr/>
      </w:pPr>
      <w:r>
        <w:rPr>
          <w:rFonts w:ascii="Times New Roman;serif" w:hAnsi="Times New Roman;serif"/>
          <w:b w:val="false"/>
          <w:color w:val="000000"/>
          <w:sz w:val="22"/>
        </w:rPr>
        <w:t>(iii)</w:t>
      </w:r>
      <w:r>
        <w:rPr>
          <w:rFonts w:ascii="Times New Roman;serif" w:hAnsi="Times New Roman;serif"/>
          <w:b w:val="false"/>
          <w:color w:val="000000"/>
          <w:sz w:val="22"/>
        </w:rPr>
        <w:t xml:space="preserve">a new clause (h), reading in its entirety as follows, shall be inserted: </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(h) any other Event of Default provided with respect to the Securities of that Series, which is specified in a Board Resolution, a supplemental indenture hereto or an Officers’ Certificate, in accordance with Section 2.2(n).”</w:t>
      </w:r>
    </w:p>
    <w:p>
      <w:pPr>
        <w:pStyle w:val="TextBody"/>
        <w:bidi w:val="0"/>
        <w:spacing w:lineRule="auto" w:line="240" w:before="0" w:after="240"/>
        <w:ind w:left="0" w:right="0" w:firstLine="1440"/>
        <w:jc w:val="left"/>
        <w:rPr/>
      </w:pPr>
      <w:r>
        <w:rPr>
          <w:rFonts w:ascii="Times New Roman;serif" w:hAnsi="Times New Roman;serif"/>
          <w:b w:val="false"/>
          <w:color w:val="000000"/>
          <w:sz w:val="24"/>
        </w:rPr>
        <w:t>(q)</w:t>
      </w:r>
      <w:r>
        <w:rPr>
          <w:rFonts w:ascii="Times New Roman;serif" w:hAnsi="Times New Roman;serif"/>
          <w:b w:val="false"/>
          <w:i/>
          <w:color w:val="000000"/>
          <w:sz w:val="22"/>
        </w:rPr>
        <w:t>Acceleration of Maturity, Rescission and Annulment</w:t>
      </w:r>
      <w:r>
        <w:rPr>
          <w:rFonts w:ascii="Times New Roman;serif" w:hAnsi="Times New Roman;serif"/>
          <w:b w:val="false"/>
          <w:color w:val="000000"/>
          <w:sz w:val="22"/>
        </w:rPr>
        <w:t>. Solely with respect to the 2036 Notes, the text of Section 6.2 of the Base Indenture shall be substituted with the following:</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If an Event of Default specified in Sections 6.1(e), 6.1(f) or 6.1(g) occurs, the principal amount of all the 2036 Notes, together with accrued and unpaid interest, if any, thereon, shall automatically, and without any declaration or other action on the part of the Trustee or any Holder, become immediately due and payable. The Maturity Date of the 2036 Notes shall not otherwise be accelerated as a result of an Event of Default.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At any time after the acceleration of the 2036 Notes and before a judgment or decree for payment of the money due has been obtained by the Trustee as hereinafter in this Article provided, the Holders of a majority in principal amount of the outstanding 2036 Notes, by written notice to the Company and the Trustee, may rescind and annul such acceleration and its consequences if (a) the Company has paid or deposited with the Trustee a sum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sufficient to pay (i) all overdue interest on the 2036 Notes, (ii) the principal of (and premium, if any, on) the 2036 Notes which have become due otherwise than by such acceleration and, to the extent permitted by applicable law, interest thereon at the rate or rates prescribed therefor in the 2036 Notes, (iii) to the extent that payment of such interest is lawful, interest upon overdue interest at the rate or rates prescribed therefor in the 2036 Notes, and (iv) all sums paid or advanced by the Trustee hereunder and the compensation, reasonable expenses, disbursements and advances of the Trustee, its agents and counsel; and (b) all Events of Default with respect to the 2036 Notes, other than the non-payment of the principal of the Notes which has become due solely by such declaration of acceleration, have been cured or waived as provided in Section 6.13.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 such rescission shall affect any subsequent Default or impair any right consequent thereon.”</w:t>
      </w:r>
    </w:p>
    <w:p>
      <w:pPr>
        <w:pStyle w:val="TextBody"/>
        <w:bidi w:val="0"/>
        <w:spacing w:lineRule="auto" w:line="240" w:before="0" w:after="240"/>
        <w:ind w:left="0" w:right="0" w:firstLine="1440"/>
        <w:jc w:val="left"/>
        <w:rPr/>
      </w:pPr>
      <w:r>
        <w:rPr>
          <w:rFonts w:ascii="Times New Roman;serif" w:hAnsi="Times New Roman;serif"/>
          <w:b w:val="false"/>
          <w:color w:val="000000"/>
          <w:sz w:val="22"/>
        </w:rPr>
        <w:t>(r)</w:t>
      </w:r>
      <w:r>
        <w:rPr>
          <w:rFonts w:ascii="Times New Roman;serif" w:hAnsi="Times New Roman;serif"/>
          <w:b w:val="false"/>
          <w:i/>
          <w:color w:val="000000"/>
          <w:sz w:val="22"/>
        </w:rPr>
        <w:t>Collection of Indebtedness And Suits For Enforcement By Trustee</w:t>
      </w:r>
      <w:r>
        <w:rPr>
          <w:rFonts w:ascii="Times New Roman;serif" w:hAnsi="Times New Roman;serif"/>
          <w:b w:val="false"/>
          <w:color w:val="000000"/>
          <w:sz w:val="22"/>
        </w:rPr>
        <w:t>. Solely with respect to the 2036 Notes, the first paragraph of Section 6.3 of the Base Indenture shall be substituted with the following:</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2"/>
        </w:rPr>
        <w:t>The Company covenants that if:</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 default is made in the payment of any interest on the 2036 Notes when such interest becomes due and payable and such default continues for a period of 30 days,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(b) default is made in the payment of the principal of (or premium, if any, on) any 2036 Note at the Maturity Date, or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 the failure of the Company, subject to the provisions of Section 6.13 of the Base Indenture, to perform any covenants or agreements contained in the Indenture, which failure shall not have been remedied, or without provision deemed to be adequate for the remedying thereof having been made, for a period of 90 days after written notice shall have been given to the Company by the Trustee or shall have been given to the Company and the Trustee by Holders of 25% or more in aggregate principal amount of the 2036 Notes then outstanding, specifying such failure, requiring the Company to remedy the same and stating that such notice is a notice of default under the Indenture,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Company will, upon demand of the Trustee, pay to the Trustee, for the benefit of the Holders of the 2036 Notes, the whole amount then due and payable on the 2036 Notes for principal, and any premium and interest and, to the extent that payment of such interest shall be legally enforceable, interest on any overdue principal and premium and on any overdue interest, at the rate or rates prescribed in the 2036 Notes, and, in addition thereto, such further amount as shall be sufficient to cover the costs and expenses of collection, including the reasonable compensation, expenses, disbursements and advances of the Trustee, its agents and counsel.”</w:t>
      </w:r>
    </w:p>
    <w:p>
      <w:pPr>
        <w:pStyle w:val="TextBody"/>
        <w:bidi w:val="0"/>
        <w:spacing w:lineRule="auto" w:line="240" w:before="0" w:after="240"/>
        <w:ind w:left="0" w:right="0" w:firstLine="1440"/>
        <w:jc w:val="left"/>
        <w:rPr/>
      </w:pPr>
      <w:r>
        <w:rPr>
          <w:rFonts w:ascii="Times New Roman;serif" w:hAnsi="Times New Roman;serif"/>
          <w:b w:val="false"/>
          <w:color w:val="000000"/>
          <w:sz w:val="22"/>
        </w:rPr>
        <w:t>(s)</w:t>
      </w:r>
      <w:r>
        <w:rPr>
          <w:rFonts w:ascii="Times New Roman;serif" w:hAnsi="Times New Roman;serif"/>
          <w:b w:val="false"/>
          <w:i/>
          <w:color w:val="000000"/>
          <w:sz w:val="22"/>
        </w:rPr>
        <w:t>Ranking</w:t>
      </w:r>
      <w:r>
        <w:rPr>
          <w:rFonts w:ascii="Times New Roman;serif" w:hAnsi="Times New Roman;serif"/>
          <w:b w:val="false"/>
          <w:color w:val="000000"/>
          <w:sz w:val="22"/>
        </w:rPr>
        <w:t>. The 2036 Notes shall rank junior to and shall be subordinated to all Senior Indebtedness of the Company, whether existing as of the date of this Fifth Supplemental Indenture, or hereafter issued or incurred, including all indebtedness relating to money owed to general creditors and trade creditors. The 2036 Notes shall rank senior to the Company’s Floating Rate Junior Subordinated Debentures due 2033, 2035, 2036, 2037 and 2038, and rank equally with</w:t>
      </w:r>
      <w:r>
        <w:rPr>
          <w:color w:val="000000"/>
        </w:rPr>
        <w:t xml:space="preserve"> </w:t>
      </w:r>
      <w:r>
        <w:rPr>
          <w:rFonts w:ascii="Times New Roman;serif" w:hAnsi="Times New Roman;serif"/>
          <w:b w:val="false"/>
          <w:color w:val="000000"/>
          <w:sz w:val="22"/>
        </w:rPr>
        <w:t xml:space="preserve">all of the Company’s other unsecured, subordinated obligations from time to time outstanding, including the Company’s existing 5.50% Fixed-to-Floating Rate Subordinated Notes due 2031, 3.00% Fixed-to-Floating Rate Subordinated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Notes due 2031, 6.40% Fixed-to-Floating Rate Subordinated Notes due May 1, 2033 and 4.50% Fixed-to-Floating Rate Subordinated Notes due 2035. Subject to the terms of the Base Indenture, if the Trustee or any holder of any of the 2036 Notes receives any payment or distribution of the Company’s assets in contravention of the subordination provisions applicable to the 2036 Notes before all Senior Indebtedness is paid in full in cash, property or securities, including by way of set-off or any such payment or distribution that may be payable or deliverable by reason of the payment of any other indebtedness of the Company being subordinated to the payment of the 2036 Notes, then such payment or distribution will be held in trust for the benefit of holders of Senior Indebtedness or their representatives to the extent necessary to make payment in full in cash or payment satisfactory to the holders of Senior Indebtedness of all unpaid Senior Indebtedness.</w:t>
      </w:r>
    </w:p>
    <w:p>
      <w:pPr>
        <w:pStyle w:val="TextBody"/>
        <w:bidi w:val="0"/>
        <w:spacing w:lineRule="auto" w:line="240" w:before="0" w:after="240"/>
        <w:ind w:left="0" w:right="0" w:firstLine="1440"/>
        <w:jc w:val="left"/>
        <w:rPr/>
      </w:pPr>
      <w:r>
        <w:rPr>
          <w:rFonts w:ascii="Times New Roman;serif" w:hAnsi="Times New Roman;serif"/>
          <w:b w:val="false"/>
          <w:color w:val="000000"/>
          <w:sz w:val="22"/>
        </w:rPr>
        <w:t>(t)</w:t>
      </w:r>
      <w:r>
        <w:rPr>
          <w:rFonts w:ascii="Times New Roman;serif" w:hAnsi="Times New Roman;serif"/>
          <w:b w:val="false"/>
          <w:i/>
          <w:color w:val="000000"/>
          <w:sz w:val="22"/>
        </w:rPr>
        <w:t>No Collateral</w:t>
      </w:r>
      <w:r>
        <w:rPr>
          <w:rFonts w:ascii="Times New Roman;serif" w:hAnsi="Times New Roman;serif"/>
          <w:b w:val="false"/>
          <w:color w:val="000000"/>
          <w:sz w:val="22"/>
        </w:rPr>
        <w:t>. The 2036 Notes shall not be entitled to the benefit of any security interest in, or collateralization by, any rights, property or interest of the Company.</w:t>
      </w:r>
    </w:p>
    <w:p>
      <w:pPr>
        <w:pStyle w:val="TextBody"/>
        <w:bidi w:val="0"/>
        <w:spacing w:lineRule="auto" w:line="240" w:before="0" w:after="240"/>
        <w:ind w:left="0" w:right="0" w:firstLine="1440"/>
        <w:jc w:val="left"/>
        <w:rPr/>
      </w:pPr>
      <w:r>
        <w:rPr>
          <w:rFonts w:ascii="Times New Roman;serif" w:hAnsi="Times New Roman;serif"/>
          <w:b w:val="false"/>
          <w:color w:val="000000"/>
          <w:sz w:val="22"/>
        </w:rPr>
        <w:t>(u)</w:t>
      </w:r>
      <w:r>
        <w:rPr>
          <w:rFonts w:ascii="Times New Roman;serif" w:hAnsi="Times New Roman;serif"/>
          <w:b w:val="false"/>
          <w:i/>
          <w:color w:val="000000"/>
          <w:sz w:val="22"/>
        </w:rPr>
        <w:t>Additional Terms</w:t>
      </w:r>
      <w:r>
        <w:rPr>
          <w:rFonts w:ascii="Times New Roman;serif" w:hAnsi="Times New Roman;serif"/>
          <w:b w:val="false"/>
          <w:color w:val="000000"/>
          <w:sz w:val="22"/>
        </w:rPr>
        <w:t>. Other terms applicable to the 2036 Notes are as otherwise provided for in the Base Indenture, as supplemented by this Fifth Supplemental Indenture.</w:t>
      </w:r>
    </w:p>
    <w:p>
      <w:pPr>
        <w:pStyle w:val="TextBody"/>
        <w:bidi w:val="0"/>
        <w:spacing w:lineRule="auto" w:line="240" w:before="0" w:after="240"/>
        <w:jc w:val="center"/>
        <w:rPr/>
      </w:pPr>
      <w:r>
        <w:rPr>
          <w:rFonts w:ascii="Times New Roman;serif" w:hAnsi="Times New Roman;serif"/>
          <w:b w:val="false"/>
          <w:color w:val="000000"/>
          <w:sz w:val="24"/>
        </w:rPr>
        <w:t>Article IV</w:t>
      </w:r>
      <w:r>
        <w:rPr>
          <w:rFonts w:ascii="Times New Roman;serif" w:hAnsi="Times New Roman;serif"/>
          <w:b w:val="false"/>
          <w:color w:val="000000"/>
          <w:sz w:val="22"/>
        </w:rPr>
        <w:br/>
        <w:t>SATISFACTION AND DISCHARGE; DEFEASANCE</w:t>
      </w:r>
    </w:p>
    <w:p>
      <w:pPr>
        <w:pStyle w:val="TextBody"/>
        <w:bidi w:val="0"/>
        <w:spacing w:lineRule="auto" w:line="240" w:before="0" w:after="240"/>
        <w:ind w:left="0" w:right="0" w:firstLine="720"/>
        <w:jc w:val="left"/>
        <w:rPr/>
      </w:pPr>
      <w:r>
        <w:rPr>
          <w:rFonts w:ascii="Times New Roman;serif" w:hAnsi="Times New Roman;serif"/>
          <w:b w:val="false"/>
          <w:color w:val="000000"/>
          <w:sz w:val="22"/>
        </w:rPr>
        <w:t>01.</w:t>
      </w:r>
      <w:r>
        <w:rPr>
          <w:rFonts w:ascii="Times New Roman;serif" w:hAnsi="Times New Roman;serif"/>
          <w:b w:val="false"/>
          <w:i/>
          <w:color w:val="000000"/>
          <w:sz w:val="22"/>
        </w:rPr>
        <w:t>Legal Defeasance</w:t>
      </w:r>
      <w:r>
        <w:rPr>
          <w:rFonts w:ascii="Times New Roman;serif" w:hAnsi="Times New Roman;serif"/>
          <w:b w:val="false"/>
          <w:color w:val="000000"/>
          <w:sz w:val="22"/>
        </w:rPr>
        <w:t>. Solely with respect to the 2036 Notes, the text of Section 8.3(c) of the Base Indenture shall be substituted with the following:</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(c) the rights, powers, trust and immunities of the Trustee hereunder; provided that, the following conditions shall have been satisfied: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 the Company shall have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cash in Dollars and/or U.S.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regionally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ii. such deposit will not result in a breach or violation of, or constitute a default under, this Indenture or any other agreement or instrument to which the Company is a party or by which it is bound;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iii. no Default or Event of Default with respect to the Securities of such Series shall have occurred and be continuing on the date of such deposit or during the period ending on the 120th day after such date;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iv. the Company shall have delivered to the Trustee an Officers’ Certificate and an Opinion of Counsel to the effect that (A) the Company has received from, or there has been published by, the Internal Revenue Service a ruling, or (B) since the date of execution of this Indenture, there has been a change in the applicable Federal income tax law, in either case to the effect that, and based thereon such Opinion of Counsel shall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confirm that, the Holders of the Securities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v. the Company shall have delivered to the Trustee an Officers’ Certificate to the effect that the Securities, if then listed on any securities exchange, will be delisted as a result of such deposit;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vi. 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vii. the defeasance shall not cause the Trustee to have a conflicting interest within the meaning of the Trust Indenture Act (assuming all of the Securities are in default within the meaning of the Trust Indenture Act);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viii. such defeasance shall not result in the trust arising from such deposit constituting an investment company within the meaning of the Investment Company Act unless such trust shall be registered under the Investment Company Act or exempt from registration thereunder; and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vi. the Company shall have delivered to the Trustee an Officers’ Certificate and an Opinion of Counsel, each stating that all conditions precedent provided for relating to the defeasance contemplated by this Section have been complied with.”</w:t>
      </w:r>
    </w:p>
    <w:p>
      <w:pPr>
        <w:pStyle w:val="TextBody"/>
        <w:bidi w:val="0"/>
        <w:spacing w:lineRule="auto" w:line="240" w:before="0" w:after="240"/>
        <w:ind w:left="0" w:right="0" w:firstLine="720"/>
        <w:jc w:val="left"/>
        <w:rPr/>
      </w:pPr>
      <w:r>
        <w:rPr>
          <w:rFonts w:ascii="Times New Roman;serif" w:hAnsi="Times New Roman;serif"/>
          <w:b w:val="false"/>
          <w:color w:val="000000"/>
          <w:sz w:val="22"/>
        </w:rPr>
        <w:t>02.</w:t>
      </w:r>
      <w:r>
        <w:rPr>
          <w:rFonts w:ascii="Times New Roman;serif" w:hAnsi="Times New Roman;serif"/>
          <w:b w:val="false"/>
          <w:i/>
          <w:color w:val="000000"/>
          <w:sz w:val="22"/>
        </w:rPr>
        <w:t>Covenant Defeasance</w:t>
      </w:r>
      <w:r>
        <w:rPr>
          <w:rFonts w:ascii="Times New Roman;serif" w:hAnsi="Times New Roman;serif"/>
          <w:b w:val="false"/>
          <w:color w:val="000000"/>
          <w:sz w:val="22"/>
        </w:rPr>
        <w:t>. Solely with respect to the 2036 Notes, the text of Section 8.4 of the Base Indenture shall be substituted with the following:</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Unless this Section 8.4 is otherwise specified pursuant to Section 2.2(p) to be inapplicable to Securities of any Series, on and after the 91st day after the date of the deposit referred to in subparagraph (a) hereof, the Company may omit to comply with respect to the Securities of any Series with any term, provision or condition set forth under Sections 4.2, 4.3, 4.4, 4.6, and 5.1 as well as any additional covenants specified in a supplemental indenture for such Series of Securities or a Board Resolution or an Officers’ Certificate delivered pursuant to Section 2.2(p)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2.2(n) and designated as an Event of Default shall not constitute a Default or Event of Default hereunder, with respect to the Securities of such Series, provided that the following conditions shall have been satisfied: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 With reference to this Section 8.4, the Company has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cash in Dollars and/or U.S. Government Obligations, which through the payment of interest and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principal in respect thereof in accordance with their terms, will provide (and without reinvestment and assuming no tax liability will be imposed on such Trustee), not later than one day before the due date of any payment of money, an amount in cash, sufficient, in the opinion of a regionally recognized firm of independent certified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 Such deposit will not result in a breach or violation of, or constitute a default under, this Indenture or any other agreement or instrument to which the Company is a party or by which it is bound;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 No Default or Event of Default with respect to the Securities of such Series shall have occurred and be continuing on the date of such deposit or during the period ending on the 120th day after such date;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 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 The Company shall have delivered to the Trustee an Officers’ Certificate to the effect that the Securities, if then listed on any securities exchange, will be delisted as a result of such deposit;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(f) The defeasance shall not cause the Trustee to have a conflicting interest within the meaning of the Trust Indenture Act (assuming all of the Securities are in default within the meaning of the Trust Indenture Act);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 Such defeasance shall not result in the trust arising from such deposit constituting an investment company within the meaning of the Investment Company Act unless such trust shall be registered under the Investment Company Act or exempt from registration thereunder; and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(h) The Company shall have delivered to the Trustee an Officers’ Certificate and an Opinion of Counsel, each stating that all conditions precedent herein provided for relating to the covenant defeasance contemplated by this Section have been complied with.”</w:t>
      </w:r>
    </w:p>
    <w:p>
      <w:pPr>
        <w:pStyle w:val="TextBody"/>
        <w:bidi w:val="0"/>
        <w:spacing w:lineRule="auto" w:line="240" w:before="0" w:after="240"/>
        <w:ind w:left="0" w:right="0" w:firstLine="720"/>
        <w:jc w:val="left"/>
        <w:rPr/>
      </w:pPr>
      <w:r>
        <w:rPr>
          <w:rFonts w:ascii="Times New Roman;serif" w:hAnsi="Times New Roman;serif"/>
          <w:b w:val="false"/>
          <w:color w:val="000000"/>
          <w:sz w:val="22"/>
        </w:rPr>
        <w:t>03.</w:t>
      </w:r>
      <w:r>
        <w:rPr>
          <w:rFonts w:ascii="Times New Roman;serif" w:hAnsi="Times New Roman;serif"/>
          <w:b w:val="false"/>
          <w:i/>
          <w:color w:val="000000"/>
          <w:sz w:val="22"/>
        </w:rPr>
        <w:t>Repayment to Company</w:t>
      </w:r>
      <w:r>
        <w:rPr>
          <w:rFonts w:ascii="Times New Roman;serif" w:hAnsi="Times New Roman;serif"/>
          <w:b w:val="false"/>
          <w:color w:val="000000"/>
          <w:sz w:val="22"/>
        </w:rPr>
        <w:t>. Solely with respect to the 2036 Notes, the text of Section 8.5 of the Base Indenture shall be substituted with the following:</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 xml:space="preserve">Subject to applicable law, any money deposited with the Trustee or any Paying Agent, or then held by the Company, in trust for the payment of the principal of and premium, if any, or interest on the 2036 Notes and remaining unclaimed for two years after such principal and premium, if any, or interest has become due and payable shall be paid to the Company upon request by the Company or (if then held by the Company) shall be discharged from such trust, and the Holder of such 2036 Notes shall thereafter, as an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unsecured general creditor, look only to the Company for payment of such amounts without interest thereon, and all liability of the Trustee or such Paying Agent with respect to such trust money, and all liability of the Company as trustee thereof, shall thereupon cease; provided, however, that the Company may publish or cause to be published once, in a newspaper published in the English language, customarily published on each Business Day and of general circulation in The City of New York, notice that such money remains unclaimed and that, after a date specified therein, which shall not be less than 30 days from the date of such publication, any unclaimed balance of such money then remaining will be repaid to the Company.”</w:t>
      </w:r>
    </w:p>
    <w:p>
      <w:pPr>
        <w:pStyle w:val="TextBody"/>
        <w:bidi w:val="0"/>
        <w:spacing w:lineRule="auto" w:line="240" w:before="0" w:after="240"/>
        <w:jc w:val="center"/>
        <w:rPr/>
      </w:pPr>
      <w:r>
        <w:rPr>
          <w:rFonts w:ascii="Times New Roman;serif" w:hAnsi="Times New Roman;serif"/>
          <w:b w:val="false"/>
          <w:color w:val="000000"/>
          <w:sz w:val="24"/>
        </w:rPr>
        <w:t>Article V</w:t>
      </w:r>
      <w:r>
        <w:rPr>
          <w:rFonts w:ascii="Times New Roman;serif" w:hAnsi="Times New Roman;serif"/>
          <w:b w:val="false"/>
          <w:color w:val="000000"/>
          <w:sz w:val="22"/>
        </w:rPr>
        <w:br/>
        <w:t>AMENDMENT, MODIFICATION AND WAIVER</w:t>
      </w:r>
    </w:p>
    <w:p>
      <w:pPr>
        <w:pStyle w:val="TextBody"/>
        <w:bidi w:val="0"/>
        <w:spacing w:lineRule="auto" w:line="240" w:before="0" w:after="240"/>
        <w:ind w:left="0" w:right="0" w:firstLine="720"/>
        <w:jc w:val="left"/>
        <w:rPr/>
      </w:pPr>
      <w:r>
        <w:rPr>
          <w:rFonts w:ascii="Times New Roman;serif" w:hAnsi="Times New Roman;serif"/>
          <w:b w:val="false"/>
          <w:color w:val="000000"/>
          <w:sz w:val="22"/>
        </w:rPr>
        <w:t>01.</w:t>
      </w:r>
      <w:r>
        <w:rPr>
          <w:rFonts w:ascii="Times New Roman;serif" w:hAnsi="Times New Roman;serif"/>
          <w:b w:val="false"/>
          <w:i/>
          <w:color w:val="000000"/>
          <w:sz w:val="22"/>
        </w:rPr>
        <w:t>Modification of Supplemental Indentures Without Consent of Holders</w:t>
      </w:r>
      <w:r>
        <w:rPr>
          <w:rFonts w:ascii="Times New Roman;serif" w:hAnsi="Times New Roman;serif"/>
          <w:b w:val="false"/>
          <w:color w:val="000000"/>
          <w:sz w:val="22"/>
        </w:rPr>
        <w:t xml:space="preserve">. Solely with respect to the 2036 Notes, the text of Section 9.1 of the Base Indenture shall be substituted with the following: </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 xml:space="preserve">Without the consent of any Holders, the Company, when authorized by a resolution of the Board of Directors of the Company, and the Trustee, at any time and from time to time, may amend the Indenture by entering into an indenture or indentures supplemental hereto, for any of the following purposes: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 to evidence the succession of another Person to the Company and the assumption by any such successor of the covenants of the Company in the Indenture and in the 2036 Notes;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(b) to add to the covenants of the Company for the benefit of the Holders of the 2036 Notes or to surrender any right or power herein conferred upon the Company;</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(c) to add any additional Events of Default for the benefit of the Holders of the 2036 Notes;</w:t>
      </w:r>
    </w:p>
    <w:p>
      <w:pPr>
        <w:pStyle w:val="TextBody"/>
        <w:bidi w:val="0"/>
        <w:spacing w:lineRule="auto" w:line="288" w:before="120" w:after="283"/>
        <w:jc w:val="left"/>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to add to or change any of the provisions of the Indenture to such extent as shall be necessary to permit or facilitate the issuance of 2036 Notes in certificated form; </w:t>
      </w:r>
    </w:p>
    <w:p>
      <w:pPr>
        <w:pStyle w:val="TextBody"/>
        <w:bidi w:val="0"/>
        <w:spacing w:lineRule="auto" w:line="288" w:before="120" w:after="283"/>
        <w:jc w:val="left"/>
        <w:rPr/>
      </w:pPr>
      <w:r>
        <w:rPr>
          <w:rFonts w:ascii="Times New Roman;serif" w:hAnsi="Times New Roman;serif"/>
          <w:b w:val="false"/>
          <w:color w:val="000000"/>
          <w:sz w:val="22"/>
        </w:rPr>
        <w:t>(e) to add to, change or eliminate any of the provisions of the Indenture,</w:t>
      </w:r>
      <w:r>
        <w:rPr>
          <w:color w:val="000000"/>
        </w:rPr>
        <w:t xml:space="preserve"> </w:t>
      </w:r>
      <w:r>
        <w:rPr>
          <w:rFonts w:ascii="Times New Roman;serif" w:hAnsi="Times New Roman;serif"/>
          <w:b w:val="false"/>
          <w:color w:val="000000"/>
          <w:sz w:val="22"/>
        </w:rPr>
        <w:t>provided that any such addition, change or elimination (A) shall neither (i) apply to any 2036 Note created prior to the execution of such supplemental indenture and entitled to the benefit of such provision nor (ii) modify the rights of the Holder of any such 2036 Note with respect to such provision or (B) shall become effective only when there is no such 2036 Note outstanding;</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(f) to secure the 2036 Notes;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(g) to establish the form or terms of 2036 Notes of any series as permitted by Sections 2.1 and 2.2 hereof;</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(h) to evidence and provide for the acceptance of appointment hereunder by a successor Trustee with respect to the 2036 Notes and to add to or change any of the provisions of the Indenture as shall be necessary to provide for or facilitate the administration of the trusts under the Indenture by more than one Trustee, pursuant to the requirements of Section 7.8;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 to cure any ambiguity, to correct or supplement any provision herein which may be defective or inconsistent with any other provision herein, or to make any other provisions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120" w:after="283"/>
        <w:jc w:val="left"/>
        <w:rPr/>
      </w:pPr>
      <w:r>
        <w:rPr>
          <w:rFonts w:ascii="Times New Roman;serif" w:hAnsi="Times New Roman;serif"/>
          <w:b w:val="false"/>
          <w:color w:val="000000"/>
          <w:sz w:val="22"/>
        </w:rPr>
        <w:t>with respect to matters or questions arising under the Indenture,</w:t>
      </w:r>
      <w:r>
        <w:rPr>
          <w:color w:val="000000"/>
        </w:rPr>
        <w:t xml:space="preserve"> </w:t>
      </w:r>
      <w:r>
        <w:rPr>
          <w:rFonts w:ascii="Times New Roman;serif" w:hAnsi="Times New Roman;serif"/>
          <w:b w:val="false"/>
          <w:color w:val="000000"/>
          <w:sz w:val="22"/>
        </w:rPr>
        <w:t>provided that such action pursuant to this Clause (i) shall not adversely affect the interests of the Holders of the Notes as determined, in good faith, by the Company; or</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(j) to provide for the issuance of and establish the form and terms and conditions of Securities of any Series as permitted by this Indenture.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Subject to the provisions of Section 9.7 of the Base Indenture, the Trustee is authorized to join with the Company in the execution of any such supplemental indenture, to make the further agreements and stipulations which may be therein contained and to accept the conveyance, transfer, assignment, mortgage or pledge of any property or assets thereunder.”</w:t>
      </w:r>
    </w:p>
    <w:p>
      <w:pPr>
        <w:pStyle w:val="TextBody"/>
        <w:bidi w:val="0"/>
        <w:spacing w:before="120" w:after="283"/>
        <w:jc w:val="left"/>
        <w:rPr/>
      </w:pPr>
      <w:r>
        <w:rPr/>
      </w:r>
    </w:p>
    <w:p>
      <w:pPr>
        <w:pStyle w:val="TextBody"/>
        <w:bidi w:val="0"/>
        <w:spacing w:lineRule="auto" w:line="240" w:before="0" w:after="240"/>
        <w:ind w:left="0" w:right="0" w:firstLine="720"/>
        <w:jc w:val="left"/>
        <w:rPr/>
      </w:pPr>
      <w:r>
        <w:rPr>
          <w:rFonts w:ascii="Times New Roman;serif" w:hAnsi="Times New Roman;serif"/>
          <w:b w:val="false"/>
          <w:color w:val="000000"/>
          <w:sz w:val="22"/>
        </w:rPr>
        <w:t>02.</w:t>
      </w:r>
      <w:r>
        <w:rPr>
          <w:rFonts w:ascii="Times New Roman;serif" w:hAnsi="Times New Roman;serif"/>
          <w:b w:val="false"/>
          <w:i/>
          <w:color w:val="000000"/>
          <w:sz w:val="22"/>
        </w:rPr>
        <w:t>Limitations</w:t>
      </w:r>
      <w:r>
        <w:rPr>
          <w:rFonts w:ascii="Times New Roman;serif" w:hAnsi="Times New Roman;serif"/>
          <w:b w:val="false"/>
          <w:color w:val="000000"/>
          <w:sz w:val="22"/>
        </w:rPr>
        <w:t xml:space="preserve">. Solely with respect to the 2036 Notes, the text of Section 9.3 of the Base Indenture shall be substituted with the following: </w: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No supplemental indenture shall, without the consent of the Holder of each outstanding 2036 Note affected thereby,</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(a) change the Maturity Date of the principal of, or any installment of principal of or interest on, any 2036 Note, or change the timing of an interest payment on any 2036 Note, or reduce the principal amount thereof or the rate of interest thereon or any premium payable upon the redemption thereof, or reduce the amount of the principal of any 2036 Note which would be due and payable upon an acceleration of the Maturity Date thereof pursuant to Section 6.2 hereof, or change any Place of Payment where, or the coin or currency in which, any 2036 Note or any premium or interest thereon is payable, or impair the right to institute suit for the enforcement of any such payment on or after the Maturity Date thereof (or, in the case of redemption, on or after the Redemption Date) or modify the provisions of the Indenture with respect to the subordination of the 2036 Notes in a manner adverse to Holders;</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 reduce the percentage in principal amount of the outstanding 2036 Notes, the consent of whose Holders is required for any such supplemental indenture, or the consent of whose Holders is required for any waiver (of compliance with certain provisions of the Indenture or certain defaults hereunder and their consequences) provided for in the Indenture; or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 modify any of the provisions of this Section or Section 6.13 of the Base Indenture, except to increase any such percentage or to provide that certain other provisions of the Indenture cannot be modified or waived without the consent of the Holder of each outstanding 2036 Note affected thereby; provided, however, that this clause shall not be deemed to require the consent of any Holder with respect to changes in the references to “the Trustee” and concomitant changes in this Section and clause (b) of Section 6.13, or the deletion of this proviso, in accordance with the requirements of Sections 7.8 and Section 9.1(h).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 supplemental indenture which changes or eliminates any covenant or other provision of the Indenture which has expressly been included solely for the benefit of the 2036 Notes, or which modifies the rights of the Holders of the 2036 Notes with respect to such covenant or other provision, shall be deemed not to affect the rights under the Indenture of the Holders of Securities of any other series.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It shall not be necessary for any Act of Holders under this Section to approve the particular form of any proposed supplemental indenture, but it shall be sufficient if such Act shall approve the substance thereof.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may set a record date for purposes of determining the identity of the Holders of each series of Securities entitled to give a written consent or waive compliance by the Company as authorized or permitted by this Section. Such record date shall not be more than 30 days prior to the first solicitation of such consent or waiver or the date of the most recent list of Holders furnished to the Trustee prior to such solicitation pursuant to Section 312 of the Trust Indenture Act.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Promptly after the execution by the Company and the Trustee of any supplemental indenture pursuant to the provisions of this Section, the Company shall mail a notice, setting forth in general terms the substance of such supplemental indenture, to the Holders of 2036 Notes at their addresses as the same shall then appear in the Register of the Company. Any failure of the Company to mail such notice, or any defect therein, shall not, however, in any way impair or affect the validity of any such supplemental indenture.</w:t>
      </w:r>
    </w:p>
    <w:p>
      <w:pPr>
        <w:pStyle w:val="TextBody"/>
        <w:bidi w:val="0"/>
        <w:spacing w:before="120" w:after="283"/>
        <w:jc w:val="left"/>
        <w:rPr/>
      </w:pPr>
      <w:r>
        <w:rPr/>
      </w:r>
    </w:p>
    <w:p>
      <w:pPr>
        <w:pStyle w:val="TextBody"/>
        <w:bidi w:val="0"/>
        <w:spacing w:lineRule="auto" w:line="240" w:before="0" w:after="240"/>
        <w:jc w:val="center"/>
        <w:rPr/>
      </w:pPr>
      <w:r>
        <w:rPr>
          <w:rFonts w:ascii="Times New Roman;serif" w:hAnsi="Times New Roman;serif"/>
          <w:b w:val="false"/>
          <w:color w:val="000000"/>
          <w:sz w:val="24"/>
        </w:rPr>
        <w:t>Article VI</w:t>
      </w:r>
      <w:r>
        <w:rPr>
          <w:rFonts w:ascii="Times New Roman;serif" w:hAnsi="Times New Roman;serif"/>
          <w:b w:val="false"/>
          <w:color w:val="000000"/>
          <w:sz w:val="22"/>
        </w:rPr>
        <w:br/>
        <w:t>SUPPLEMENTAL INDENTURES</w:t>
      </w:r>
    </w:p>
    <w:p>
      <w:pPr>
        <w:pStyle w:val="TextBody"/>
        <w:bidi w:val="0"/>
        <w:spacing w:lineRule="auto" w:line="240" w:before="0" w:after="240"/>
        <w:ind w:left="0" w:right="0" w:firstLine="720"/>
        <w:jc w:val="left"/>
        <w:rPr/>
      </w:pPr>
      <w:r>
        <w:rPr>
          <w:rFonts w:ascii="Times New Roman;serif" w:hAnsi="Times New Roman;serif"/>
          <w:b w:val="false"/>
          <w:color w:val="000000"/>
          <w:sz w:val="22"/>
        </w:rPr>
        <w:t>01.</w:t>
      </w:r>
      <w:r>
        <w:rPr>
          <w:rFonts w:ascii="Times New Roman;serif" w:hAnsi="Times New Roman;serif"/>
          <w:b w:val="false"/>
          <w:i/>
          <w:color w:val="000000"/>
          <w:sz w:val="22"/>
        </w:rPr>
        <w:t>Supplemental Indentures</w:t>
      </w:r>
      <w:r>
        <w:rPr>
          <w:rFonts w:ascii="Times New Roman;serif" w:hAnsi="Times New Roman;serif"/>
          <w:b w:val="false"/>
          <w:color w:val="000000"/>
          <w:sz w:val="22"/>
        </w:rPr>
        <w:t>. The following paragraph shall be added to the end of Section 9.2 of the Base Indenture and shall only apply to the 2036 Notes:</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Not in limitation of the foregoing, without the consent of any Holder of 2036 Notes, the Company and the Trustee may amend or supplement the Indenture or the 2036 Notes to conform the terms of the Indenture and the 2036 Notes to the description of the 2036 Notes in the prospectus supplement dated May 4, 2026 relating to the offering of the 2036 Notes, as certified by the Company to the Trustee in an Officers’ Certificate.”</w:t>
      </w:r>
    </w:p>
    <w:p>
      <w:pPr>
        <w:pStyle w:val="TextBody"/>
        <w:bidi w:val="0"/>
        <w:spacing w:lineRule="auto" w:line="240" w:before="0" w:after="240"/>
        <w:jc w:val="center"/>
        <w:rPr/>
      </w:pPr>
      <w:r>
        <w:rPr>
          <w:rFonts w:ascii="Times New Roman;serif" w:hAnsi="Times New Roman;serif"/>
          <w:b w:val="false"/>
          <w:color w:val="000000"/>
          <w:sz w:val="24"/>
        </w:rPr>
        <w:t>Article VII</w:t>
      </w:r>
      <w:r>
        <w:rPr>
          <w:rFonts w:ascii="Times New Roman;serif" w:hAnsi="Times New Roman;serif"/>
          <w:b w:val="false"/>
          <w:color w:val="000000"/>
          <w:sz w:val="22"/>
        </w:rPr>
        <w:br/>
        <w:t>MISCELLANEOUS</w:t>
      </w:r>
    </w:p>
    <w:p>
      <w:pPr>
        <w:pStyle w:val="TextBody"/>
        <w:bidi w:val="0"/>
        <w:spacing w:lineRule="auto" w:line="240" w:before="0" w:after="240"/>
        <w:ind w:left="0" w:right="0" w:firstLine="720"/>
        <w:jc w:val="left"/>
        <w:rPr/>
      </w:pPr>
      <w:r>
        <w:rPr>
          <w:rFonts w:ascii="Times New Roman;serif" w:hAnsi="Times New Roman;serif"/>
          <w:b w:val="false"/>
          <w:color w:val="000000"/>
          <w:sz w:val="22"/>
        </w:rPr>
        <w:t>01.</w:t>
      </w:r>
      <w:r>
        <w:rPr>
          <w:rFonts w:ascii="Times New Roman;serif" w:hAnsi="Times New Roman;serif"/>
          <w:b w:val="false"/>
          <w:i/>
          <w:color w:val="000000"/>
          <w:sz w:val="22"/>
        </w:rPr>
        <w:t>Trust Indenture Act</w:t>
      </w:r>
      <w:r>
        <w:rPr>
          <w:rFonts w:ascii="Times New Roman;serif" w:hAnsi="Times New Roman;serif"/>
          <w:b w:val="false"/>
          <w:color w:val="000000"/>
          <w:sz w:val="22"/>
        </w:rPr>
        <w:t>. This Fifth Supplemental Indenture is subject to the provisions of the Trust Indenture Act that are required to be part of the Indenture and shall, to the extent applicable, be governed by such provisions. If any provision of this Fifth Supplemental Indenture limits, qualifies, or conflicts with a provision of the Trust Indenture Act that is required under such act to be a part of and govern this Fifth Supplemental Indenture, the latter provision shall control.</w:t>
      </w:r>
    </w:p>
    <w:p>
      <w:pPr>
        <w:pStyle w:val="TextBody"/>
        <w:bidi w:val="0"/>
        <w:spacing w:lineRule="auto" w:line="240" w:before="0" w:after="240"/>
        <w:ind w:left="0" w:right="0" w:firstLine="720"/>
        <w:jc w:val="left"/>
        <w:rPr/>
      </w:pPr>
      <w:r>
        <w:rPr>
          <w:rFonts w:ascii="Times New Roman;serif" w:hAnsi="Times New Roman;serif"/>
          <w:b w:val="false"/>
          <w:color w:val="000000"/>
          <w:sz w:val="22"/>
        </w:rPr>
        <w:t>02.</w:t>
      </w:r>
      <w:r>
        <w:rPr>
          <w:rFonts w:ascii="Times New Roman;serif" w:hAnsi="Times New Roman;serif"/>
          <w:b w:val="false"/>
          <w:i/>
          <w:color w:val="000000"/>
          <w:sz w:val="22"/>
        </w:rPr>
        <w:t>GOVERNING LAW</w:t>
      </w:r>
      <w:r>
        <w:rPr>
          <w:rFonts w:ascii="Times New Roman;serif" w:hAnsi="Times New Roman;serif"/>
          <w:b w:val="false"/>
          <w:color w:val="000000"/>
          <w:sz w:val="22"/>
        </w:rPr>
        <w:t>. THE LAWS OF THE STATE OF NEW YORK SHALL GOVERN THIS FIFTH SUPPLEMENTAL INDENTURE AND THE 2036 NOTES.</w:t>
      </w:r>
    </w:p>
    <w:p>
      <w:pPr>
        <w:pStyle w:val="TextBody"/>
        <w:bidi w:val="0"/>
        <w:spacing w:lineRule="auto" w:line="240" w:before="0" w:after="240"/>
        <w:ind w:left="0" w:right="0" w:firstLine="720"/>
        <w:jc w:val="left"/>
        <w:rPr/>
      </w:pPr>
      <w:r>
        <w:rPr>
          <w:rFonts w:ascii="Times New Roman;serif" w:hAnsi="Times New Roman;serif"/>
          <w:b w:val="false"/>
          <w:color w:val="000000"/>
          <w:sz w:val="22"/>
        </w:rPr>
        <w:t>03.</w:t>
      </w:r>
      <w:r>
        <w:rPr>
          <w:color w:val="000000"/>
        </w:rPr>
        <w:t xml:space="preserve"> </w:t>
      </w:r>
      <w:r>
        <w:rPr>
          <w:rFonts w:ascii="Times New Roman;serif" w:hAnsi="Times New Roman;serif"/>
          <w:b w:val="false"/>
          <w:i/>
          <w:color w:val="000000"/>
          <w:sz w:val="22"/>
        </w:rPr>
        <w:t>JURISDICTION.</w:t>
      </w:r>
      <w:r>
        <w:rPr>
          <w:color w:val="000000"/>
        </w:rPr>
        <w:t xml:space="preserve"> </w:t>
      </w:r>
      <w:r>
        <w:rPr>
          <w:rFonts w:ascii="Times New Roman;serif" w:hAnsi="Times New Roman;serif"/>
          <w:b w:val="false"/>
          <w:color w:val="000000"/>
          <w:sz w:val="22"/>
        </w:rPr>
        <w:t>THE PARTIES HEREBY (I) IRREVOCABLY SUBMIT TO THE NON-EXCLUSIVE JURISDICTION OF ANY FEDERAL OR STATE COURT SITTING IN THE BOROUGH OF MANHATTAN, THE CITY OF NEW YORK, (II) WAIVE ANY OBJECTION TO LAYING OF VENUE IN ANY SUCH ACTION OR PROCEEDING IN SUCH COURTS, AND (III) WAIVE ANY OBJECTION THAT SUCH COURTS ARE AN INCONVENIENT FORUM OR DO NOT HAVE JURISDICTION OVER ANY PARTY</w:t>
      </w:r>
    </w:p>
    <w:p>
      <w:pPr>
        <w:pStyle w:val="TextBody"/>
        <w:bidi w:val="0"/>
        <w:spacing w:lineRule="auto" w:line="240" w:before="0" w:after="240"/>
        <w:ind w:left="0" w:right="0" w:firstLine="720"/>
        <w:jc w:val="left"/>
        <w:rPr/>
      </w:pPr>
      <w:r>
        <w:rPr>
          <w:rFonts w:ascii="Times New Roman;serif" w:hAnsi="Times New Roman;serif"/>
          <w:b w:val="false"/>
          <w:color w:val="000000"/>
          <w:sz w:val="22"/>
        </w:rPr>
        <w:t>04.</w:t>
      </w:r>
      <w:r>
        <w:rPr>
          <w:rFonts w:ascii="Times New Roman;serif" w:hAnsi="Times New Roman;serif"/>
          <w:b w:val="false"/>
          <w:i/>
          <w:color w:val="000000"/>
          <w:sz w:val="22"/>
        </w:rPr>
        <w:t xml:space="preserve">WAIVER OF TRIAL BY JURY. </w:t>
      </w:r>
      <w:r>
        <w:rPr>
          <w:rFonts w:ascii="Times New Roman;serif" w:hAnsi="Times New Roman;serif"/>
          <w:b w:val="false"/>
          <w:color w:val="000000"/>
          <w:sz w:val="22"/>
        </w:rPr>
        <w:t xml:space="preserve">EACH OF THE PARTIES HERETO, AND EACH HOLDER OF A NOTE BY ITS ACCEPTANCE THEREOF, HEREBY WAIVES TO THE FULLEST EXTENT PERMITTED BY LAW THE RIGHT TO TRIAL BY JURY WITH RESPECT TO ANY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LITIGATION DIRECTLY OR INDIRECTLY ARISING OUT OF, UNDER OR IN CONNECTION WITH THIS INDENTURE.</w:t>
      </w:r>
    </w:p>
    <w:p>
      <w:pPr>
        <w:pStyle w:val="TextBody"/>
        <w:bidi w:val="0"/>
        <w:spacing w:lineRule="auto" w:line="240" w:before="0" w:after="240"/>
        <w:ind w:left="0" w:right="0" w:firstLine="720"/>
        <w:jc w:val="left"/>
        <w:rPr/>
      </w:pPr>
      <w:r>
        <w:rPr>
          <w:rFonts w:ascii="Times New Roman;serif" w:hAnsi="Times New Roman;serif"/>
          <w:b w:val="false"/>
          <w:color w:val="000000"/>
          <w:sz w:val="22"/>
        </w:rPr>
        <w:t>05.</w:t>
      </w:r>
      <w:r>
        <w:rPr>
          <w:rFonts w:ascii="Times New Roman;serif" w:hAnsi="Times New Roman;serif"/>
          <w:b w:val="false"/>
          <w:i/>
          <w:color w:val="000000"/>
          <w:sz w:val="22"/>
        </w:rPr>
        <w:t>Duplicate Originals</w:t>
      </w:r>
      <w:r>
        <w:rPr>
          <w:rFonts w:ascii="Times New Roman;serif" w:hAnsi="Times New Roman;serif"/>
          <w:b w:val="false"/>
          <w:color w:val="000000"/>
          <w:sz w:val="22"/>
        </w:rPr>
        <w:t>. The parties may sign any number of copies of this Fifth Supplemental Indenture. Each signed copy shall be an original, but all of them together represent the same agreement.</w:t>
      </w:r>
    </w:p>
    <w:p>
      <w:pPr>
        <w:pStyle w:val="TextBody"/>
        <w:bidi w:val="0"/>
        <w:spacing w:lineRule="auto" w:line="240" w:before="0" w:after="240"/>
        <w:ind w:left="0" w:right="0" w:firstLine="720"/>
        <w:jc w:val="left"/>
        <w:rPr/>
      </w:pPr>
      <w:r>
        <w:rPr>
          <w:rFonts w:ascii="Times New Roman;serif" w:hAnsi="Times New Roman;serif"/>
          <w:b w:val="false"/>
          <w:color w:val="000000"/>
          <w:sz w:val="22"/>
        </w:rPr>
        <w:t>06.</w:t>
      </w:r>
      <w:r>
        <w:rPr>
          <w:rFonts w:ascii="Times New Roman;serif" w:hAnsi="Times New Roman;serif"/>
          <w:b w:val="false"/>
          <w:i/>
          <w:color w:val="000000"/>
          <w:sz w:val="22"/>
        </w:rPr>
        <w:t>Severability; Entire Agreement</w:t>
      </w:r>
      <w:r>
        <w:rPr>
          <w:rFonts w:ascii="Times New Roman;serif" w:hAnsi="Times New Roman;serif"/>
          <w:b w:val="false"/>
          <w:color w:val="000000"/>
          <w:sz w:val="22"/>
        </w:rPr>
        <w:t>. In case any provision in this Fifth Supplemental Indenture or the 2036 Notes shall be invalid, illegal or unenforceable, the validity, legality and enforceability of the remaining provisions shall not in any way be affected or impaired thereby. The Base Indenture and this Fifth Supplemental Indenture and the exhibits thereto and hereto set forth the entire agreement and understanding of the parties related to this transaction and supersedes all prior agreements and understandings, oral or written.</w:t>
      </w:r>
    </w:p>
    <w:p>
      <w:pPr>
        <w:pStyle w:val="TextBody"/>
        <w:bidi w:val="0"/>
        <w:spacing w:lineRule="auto" w:line="240" w:before="0" w:after="240"/>
        <w:ind w:left="0" w:right="0" w:firstLine="720"/>
        <w:jc w:val="left"/>
        <w:rPr/>
      </w:pPr>
      <w:r>
        <w:rPr>
          <w:rFonts w:ascii="Times New Roman;serif" w:hAnsi="Times New Roman;serif"/>
          <w:b w:val="false"/>
          <w:color w:val="000000"/>
          <w:sz w:val="22"/>
        </w:rPr>
        <w:t>07.</w:t>
      </w:r>
      <w:r>
        <w:rPr>
          <w:rFonts w:ascii="Times New Roman;serif" w:hAnsi="Times New Roman;serif"/>
          <w:b w:val="false"/>
          <w:i/>
          <w:color w:val="000000"/>
          <w:sz w:val="22"/>
        </w:rPr>
        <w:t>Ratification</w:t>
      </w:r>
      <w:r>
        <w:rPr>
          <w:rFonts w:ascii="Times New Roman;serif" w:hAnsi="Times New Roman;serif"/>
          <w:b w:val="false"/>
          <w:color w:val="000000"/>
          <w:sz w:val="22"/>
        </w:rPr>
        <w:t>. The Base Indenture, as supplemented and amended by this Fifth Supplemental Indenture, is in all respects ratified and confirmed. The Base Indenture and this Fifth Supplemental Indenture shall be read, taken and construed as one and the same instrument. All provisions included in this Fifth Supplemental Indenture supersede any conflicting provisions included in the Base Indenture unless not permitted by law. The Trustee accepts the trusts created by the Base Indenture, as supplemented by this Fifth Supplemental Indenture, and agrees to perform the same upon the terms and conditions of the Base Indenture, as supplemented by this Fifth Supplemental Indenture.</w:t>
      </w:r>
    </w:p>
    <w:p>
      <w:pPr>
        <w:pStyle w:val="TextBody"/>
        <w:bidi w:val="0"/>
        <w:spacing w:lineRule="auto" w:line="240" w:before="0" w:after="240"/>
        <w:ind w:left="0" w:right="0" w:firstLine="720"/>
        <w:jc w:val="left"/>
        <w:rPr/>
      </w:pPr>
      <w:r>
        <w:rPr>
          <w:rFonts w:ascii="Times New Roman;serif" w:hAnsi="Times New Roman;serif"/>
          <w:b w:val="false"/>
          <w:color w:val="000000"/>
          <w:sz w:val="22"/>
        </w:rPr>
        <w:t>08.</w:t>
      </w:r>
      <w:r>
        <w:rPr>
          <w:rFonts w:ascii="Times New Roman;serif" w:hAnsi="Times New Roman;serif"/>
          <w:b w:val="false"/>
          <w:i/>
          <w:color w:val="000000"/>
          <w:sz w:val="22"/>
        </w:rPr>
        <w:t>Effectiveness</w:t>
      </w:r>
      <w:r>
        <w:rPr>
          <w:rFonts w:ascii="Times New Roman;serif" w:hAnsi="Times New Roman;serif"/>
          <w:b w:val="false"/>
          <w:color w:val="000000"/>
          <w:sz w:val="22"/>
        </w:rPr>
        <w:t>. The provisions of this Fifth Supplemental Indenture shall become effective as of the date hereof.</w:t>
      </w:r>
    </w:p>
    <w:p>
      <w:pPr>
        <w:pStyle w:val="TextBody"/>
        <w:bidi w:val="0"/>
        <w:spacing w:lineRule="auto" w:line="240" w:before="0" w:after="240"/>
        <w:ind w:left="0" w:right="0" w:firstLine="720"/>
        <w:jc w:val="left"/>
        <w:rPr/>
      </w:pPr>
      <w:r>
        <w:rPr>
          <w:rFonts w:ascii="Times New Roman;serif" w:hAnsi="Times New Roman;serif"/>
          <w:b w:val="false"/>
          <w:color w:val="000000"/>
          <w:sz w:val="22"/>
        </w:rPr>
        <w:t>09.</w:t>
      </w:r>
      <w:r>
        <w:rPr>
          <w:rFonts w:ascii="Times New Roman;serif" w:hAnsi="Times New Roman;serif"/>
          <w:b w:val="false"/>
          <w:i/>
          <w:color w:val="000000"/>
          <w:sz w:val="22"/>
        </w:rPr>
        <w:t>Successors</w:t>
      </w:r>
      <w:r>
        <w:rPr>
          <w:rFonts w:ascii="Times New Roman;serif" w:hAnsi="Times New Roman;serif"/>
          <w:b w:val="false"/>
          <w:color w:val="000000"/>
          <w:sz w:val="22"/>
        </w:rPr>
        <w:t>. All agreements of the Company in this Fifth Supplemental Indenture shall bind its successors. All agreements of the Trustee in this Fifth Supplemental Indenture shall bind its successors.</w:t>
      </w:r>
    </w:p>
    <w:p>
      <w:pPr>
        <w:pStyle w:val="TextBody"/>
        <w:bidi w:val="0"/>
        <w:spacing w:lineRule="auto" w:line="240" w:before="0" w:after="240"/>
        <w:ind w:left="0" w:right="0" w:firstLine="720"/>
        <w:jc w:val="left"/>
        <w:rPr/>
      </w:pPr>
      <w:r>
        <w:rPr>
          <w:rFonts w:ascii="Times New Roman;serif" w:hAnsi="Times New Roman;serif"/>
          <w:b w:val="false"/>
          <w:color w:val="000000"/>
          <w:sz w:val="22"/>
        </w:rPr>
        <w:t>10.</w:t>
      </w:r>
      <w:r>
        <w:rPr>
          <w:rFonts w:ascii="Times New Roman;serif" w:hAnsi="Times New Roman;serif"/>
          <w:b w:val="false"/>
          <w:i/>
          <w:color w:val="000000"/>
          <w:sz w:val="22"/>
        </w:rPr>
        <w:t>Rights of Trustee</w:t>
      </w:r>
      <w:r>
        <w:rPr>
          <w:rFonts w:ascii="Times New Roman;serif" w:hAnsi="Times New Roman;serif"/>
          <w:b w:val="false"/>
          <w:color w:val="000000"/>
          <w:sz w:val="22"/>
        </w:rPr>
        <w:t>. Solely with respect to the 2036 Notes, the text of Section 7.2(m) of the Base Indenture shall be substituted with the following:</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The Trustee shall not be responsible or liable for any failure or delay in the performance of its obligations under this Indenture arising out of or caused, directly or indirectly, by circumstances beyond its reasonable control, including, without limitation, any act or provision of any present or future law or regulation or governmental authority; acts of God; earthquakes; fires; floods; terrorism; wars and other military disturbances; sabotage; epidemics; riots; interruptions; loss or malfunction of utilities, computer (hardware or software) or communication services; accidents; labor disputes; and acts of civil or military authorities and governmental action; or the unavailability of the Federal Reserve Bank wire or telex or other wire or communication facility.”</w:t>
      </w:r>
    </w:p>
    <w:p>
      <w:pPr>
        <w:pStyle w:val="TextBody"/>
        <w:bidi w:val="0"/>
        <w:spacing w:lineRule="auto" w:line="240" w:before="0" w:after="240"/>
        <w:ind w:left="0" w:right="0" w:firstLine="720"/>
        <w:jc w:val="left"/>
        <w:rPr/>
      </w:pPr>
      <w:r>
        <w:rPr>
          <w:rFonts w:ascii="Times New Roman;serif" w:hAnsi="Times New Roman;serif"/>
          <w:b w:val="false"/>
          <w:color w:val="000000"/>
          <w:sz w:val="22"/>
        </w:rPr>
        <w:t>11.</w:t>
      </w:r>
      <w:r>
        <w:rPr>
          <w:rFonts w:ascii="Times New Roman;serif" w:hAnsi="Times New Roman;serif"/>
          <w:b w:val="false"/>
          <w:i/>
          <w:color w:val="000000"/>
          <w:sz w:val="22"/>
        </w:rPr>
        <w:t>Indenture and Notes Solely Corporate Obligations</w:t>
      </w:r>
      <w:r>
        <w:rPr>
          <w:rFonts w:ascii="Times New Roman;serif" w:hAnsi="Times New Roman;serif"/>
          <w:b w:val="false"/>
          <w:color w:val="000000"/>
          <w:sz w:val="22"/>
        </w:rPr>
        <w:t>. No recourse for the payment of the principal of or interest on any 2036 Note, or for any claim based thereon or otherwise in respect thereof, shall be had against any shareholder, employee, agent, officer or director, as such, past, present or future, of the Company or of any successor Person; it being expressly understood that all such liability is hereby expressly waived and released as a condition of, and as a consideration for, the execution of this Fifth Supplemental Indenture and the issue of the 2036 Notes.</w:t>
      </w:r>
    </w:p>
    <w:p>
      <w:pPr>
        <w:pStyle w:val="TextBody"/>
        <w:bidi w:val="0"/>
        <w:spacing w:lineRule="auto" w:line="240" w:before="0" w:after="240"/>
        <w:ind w:left="0" w:right="0" w:firstLine="720"/>
        <w:jc w:val="left"/>
        <w:rPr/>
      </w:pPr>
      <w:r>
        <w:rPr>
          <w:rFonts w:ascii="Times New Roman;serif" w:hAnsi="Times New Roman;serif"/>
          <w:b w:val="false"/>
          <w:color w:val="000000"/>
          <w:sz w:val="22"/>
        </w:rPr>
        <w:t>12.</w:t>
      </w:r>
      <w:r>
        <w:rPr>
          <w:rFonts w:ascii="Times New Roman;serif" w:hAnsi="Times New Roman;serif"/>
          <w:b w:val="false"/>
          <w:i/>
          <w:color w:val="000000"/>
          <w:sz w:val="22"/>
        </w:rPr>
        <w:t>Trustee’s Disclaimer</w:t>
      </w:r>
      <w:r>
        <w:rPr>
          <w:rFonts w:ascii="Times New Roman;serif" w:hAnsi="Times New Roman;serif"/>
          <w:b w:val="false"/>
          <w:color w:val="000000"/>
          <w:sz w:val="22"/>
        </w:rPr>
        <w:t>. The recitals contained herein shall be taken as the statements of the Company and the Trustee assumes no responsibility for their correctness. The Trustee shall not be responsible in any manner whatsoever for or in respect of the validity or sufficiency of this Fifth Supplemental Indenture, the 2036 Notes, or for or in respect of the recitals contained herein, all of which recitals are made solely by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2"/>
        </w:rPr>
        <w:t>13.</w:t>
      </w:r>
      <w:r>
        <w:rPr>
          <w:rFonts w:ascii="Times New Roman;serif" w:hAnsi="Times New Roman;serif"/>
          <w:b w:val="false"/>
          <w:i/>
          <w:color w:val="000000"/>
          <w:sz w:val="22"/>
        </w:rPr>
        <w:t>USA PATRIOT Act</w:t>
      </w:r>
      <w:r>
        <w:rPr>
          <w:rFonts w:ascii="Times New Roman;serif" w:hAnsi="Times New Roman;serif"/>
          <w:b w:val="false"/>
          <w:color w:val="000000"/>
          <w:sz w:val="22"/>
        </w:rPr>
        <w:t xml:space="preserve">. The parties hereto acknowledge that in accordance with Section 326 of the USA PATRIOT Act the Trustee, like all financial institutions and in order to help fight the funding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of terrorism and money laundering, is required to obtain, verify, and record information that identifies each person or legal entity that establishes a relationship or opens an account. The parties to this agreement agree that they shall provide the Trustee with such information as it may request in order to satisfy the requirements of the USA PATRIOT Act.</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[Remainder of page intentionally left blank.]</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Fifth Supplemental Indenture to be duly executed as of the date first above written.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RENASANT CORPORATION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738" w:type="dxa"/>
        <w:jc w:val="left"/>
        <w:tblInd w:w="0" w:type="dxa"/>
        <w:tblLayout w:type="fixed"/>
        <w:tblCellMar>
          <w:top w:w="28" w:type="dxa"/>
          <w:left w:w="28" w:type="dxa"/>
          <w:bottom w:w="28" w:type="dxa"/>
          <w:right w:w="28" w:type="dxa"/>
        </w:tblCellMar>
      </w:tblPr>
      <w:tblGrid>
        <w:gridCol w:w="264"/>
        <w:gridCol w:w="232"/>
        <w:gridCol w:w="238"/>
        <w:gridCol w:w="1171"/>
        <w:gridCol w:w="1171"/>
        <w:gridCol w:w="1662"/>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Kevin D. Chapman            </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400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Kevin D. Chapman</w:t>
            </w:r>
            <w:r>
              <w:rPr>
                <w:color w:val="000000"/>
                <w:u w:val="single"/>
              </w:rPr>
              <w:t xml:space="preserve"> </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President and Principal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i/>
          <w:color w:val="000000"/>
          <w:sz w:val="22"/>
        </w:rPr>
        <w:t>[Signature Page to Fifth</w:t>
      </w:r>
      <w:r>
        <w:rPr>
          <w:color w:val="000000"/>
        </w:rPr>
        <w:t xml:space="preserve"> </w:t>
      </w:r>
      <w:r>
        <w:rPr>
          <w:rFonts w:ascii="Times New Roman;serif" w:hAnsi="Times New Roman;serif"/>
          <w:b/>
          <w:i/>
          <w:color w:val="000000"/>
          <w:sz w:val="22"/>
        </w:rPr>
        <w:t>Supplemental Indenture]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Wilmington Trust, National Association,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Trustee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463" w:type="dxa"/>
        <w:jc w:val="left"/>
        <w:tblInd w:w="0" w:type="dxa"/>
        <w:tblLayout w:type="fixed"/>
        <w:tblCellMar>
          <w:top w:w="28" w:type="dxa"/>
          <w:left w:w="28" w:type="dxa"/>
          <w:bottom w:w="28" w:type="dxa"/>
          <w:right w:w="28" w:type="dxa"/>
        </w:tblCellMar>
      </w:tblPr>
      <w:tblGrid>
        <w:gridCol w:w="264"/>
        <w:gridCol w:w="232"/>
        <w:gridCol w:w="238"/>
        <w:gridCol w:w="799"/>
        <w:gridCol w:w="799"/>
        <w:gridCol w:w="1131"/>
      </w:tblGrid>
      <w:tr>
        <w:trPr/>
        <w:tc>
          <w:tcPr>
            <w:tcW w:w="2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 Michael H. Wass            </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72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Michael H. Wass</w:t>
            </w:r>
            <w:r>
              <w:rPr>
                <w:color w:val="000000"/>
                <w:u w:val="single"/>
              </w:rPr>
              <w:t xml:space="preserve"> </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[Signature Page to Fifth Supplemental Indenture]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NOTE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See attached.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GLOBAL NOTE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AND UNTIL IT IS EXCHANGED IN WHOLE OR IN PART FOR THE INDIVIDUAL SECURITIES REPRESENTED HEREBY, THIS GLOBAL SECURITY MAY NOT BE TRANSFERRED EXCEPT AS A WHOLE (I) BY THE DEPOSITARY TO A NOMINEE OF THE DEPOSITARY OR (II) BY A NOMINEE OF THE DEPOSITARY OR THE DEPOSITARY TO A SUCCESSOR DEPOSITARY OR A NOMINEE OF SUCH SUCCESSOR DEPOSITARY. UNLESS THIS CERTIFICATE IS PRESENTED BY AN AUTHORIZED REPRESENTATIVE OF THE DEPOSITORY TRUST COMPANY TO THE ISSUER OR ITS AGENT FOR REGISTRATION OF TRANSFER, EXCHANGE OR PAYMENT AND ANY CERTIFICATE ISSUED IS REGISTERED IN THE NAME OF CEDE &amp; CO. OR SUCH OTHER NAME AS REQUESTED BY AN AUTHORIZED REPRESENTATIVE OF THE DEPOSITORY TRUST COMPANY AND ANY PAYMENT IS MADE TO CEDE &amp; CO., ANY TRANSFER, PLEDGE OR OTHER USE HEREOF FOR VALUE OR OTHERWISE BY OR TO ANY PERSON IS WRONGFUL SINCE THE REGISTERED OWNER HEREOF, CEDE &amp; CO., HAS AN INTEREST HEREIN.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TRANSFERS OF THIS GLOBAL SECURITY SHALL BE LIMITED TO TRANSFERS IN WHOLE, BUT NOT IN PART, BY THE DEPOSITARY TO A NOMINEE OF THE DEPOSITARY, OR BY A NOMINEE OF THE DEPOSITARY TO THE DEPOSITARY OR ANOTHER NOMINEE OF THE DEPOSITARY, OR BY THE DEPOSITARY OR ANY SUCH NOMINEE TO A SUCCESSOR DEPOSITARY OR A NOMINEE OF SUCH SUCCESSOR DEPOSITARY.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RENASANT CORPORATION </w:t>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6.25% Fixed-to-Floating Rate Subordinated Notes due 2036 </w:t>
      </w:r>
    </w:p>
    <w:tbl>
      <w:tblPr>
        <w:tblW w:w="3538" w:type="dxa"/>
        <w:jc w:val="left"/>
        <w:tblInd w:w="0" w:type="dxa"/>
        <w:tblLayout w:type="fixed"/>
        <w:tblCellMar>
          <w:top w:w="28" w:type="dxa"/>
          <w:left w:w="28" w:type="dxa"/>
          <w:bottom w:w="28" w:type="dxa"/>
          <w:right w:w="28" w:type="dxa"/>
        </w:tblCellMar>
      </w:tblPr>
      <w:tblGrid>
        <w:gridCol w:w="456"/>
        <w:gridCol w:w="400"/>
        <w:gridCol w:w="405"/>
        <w:gridCol w:w="109"/>
        <w:gridCol w:w="109"/>
        <w:gridCol w:w="109"/>
        <w:gridCol w:w="571"/>
        <w:gridCol w:w="571"/>
        <w:gridCol w:w="808"/>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CUSIP: 75970E AF4</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ISIN: US75970EAF43</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$300,000,000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Renasant Corporation, a Mississippi corporation (hereinafter called the “</w:t>
      </w:r>
      <w:r>
        <w:rPr>
          <w:rFonts w:ascii="Times New Roman;serif" w:hAnsi="Times New Roman;serif"/>
          <w:b w:val="false"/>
          <w:color w:val="000000"/>
          <w:sz w:val="20"/>
          <w:u w:val="single"/>
        </w:rPr>
        <w:t>Company</w:t>
      </w:r>
      <w:r>
        <w:rPr>
          <w:rFonts w:ascii="Times New Roman;serif" w:hAnsi="Times New Roman;serif"/>
          <w:b w:val="false"/>
          <w:color w:val="000000"/>
          <w:sz w:val="20"/>
        </w:rPr>
        <w:t>,” which term includes any successor corporation under the Indenture hereinafter referred to), for value received, hereby promises to pay to CEDE &amp; CO., or its registered assigns, the principal sum of $300,000,000 (or such other amount as set forth in the Schedule of Increases or Decreases in Global Note attached hereto) on June 1, 2036 (such date is hereinafter referred to as the “</w:t>
      </w:r>
      <w:r>
        <w:rPr>
          <w:rFonts w:ascii="Times New Roman;serif" w:hAnsi="Times New Roman;serif"/>
          <w:b w:val="false"/>
          <w:color w:val="000000"/>
          <w:sz w:val="20"/>
          <w:u w:val="single"/>
        </w:rPr>
        <w:t>Stated Maturity Date</w:t>
      </w:r>
      <w:r>
        <w:rPr>
          <w:color w:val="000000"/>
        </w:rPr>
        <w:t>”</w:t>
      </w:r>
      <w:r>
        <w:rPr>
          <w:rFonts w:ascii="Times New Roman;serif" w:hAnsi="Times New Roman;serif"/>
          <w:b w:val="false"/>
          <w:color w:val="000000"/>
          <w:sz w:val="20"/>
        </w:rPr>
        <w:t>), unless redeemed prior to such date, and to pay interest thereon (i) from, and including, May 7, 2026, to, but excluding, June 1, 2031, unless redeemed prior to such date, at a rate of 6.25% per annum, semi-annually in arrears on June 1 and December 1 of each year, commencing December 1, 2026 (each such date, a “</w:t>
      </w:r>
      <w:r>
        <w:rPr>
          <w:rFonts w:ascii="Times New Roman;serif" w:hAnsi="Times New Roman;serif"/>
          <w:b w:val="false"/>
          <w:color w:val="000000"/>
          <w:sz w:val="20"/>
          <w:u w:val="single"/>
        </w:rPr>
        <w:t>Fixed Rate Interest Payment Date</w:t>
      </w:r>
      <w:r>
        <w:rPr>
          <w:rFonts w:ascii="Times New Roman;serif" w:hAnsi="Times New Roman;serif"/>
          <w:b w:val="false"/>
          <w:color w:val="000000"/>
          <w:sz w:val="20"/>
        </w:rPr>
        <w:t>,” with the period from, and including, May 7, 2026 to, but excluding, the first Fixed Rate Interest Payment Date and each successive period from, and including, a Fixed Rate Interest Payment Date to, but excluding, the next Fixed Rate Interest Payment Date being a “</w:t>
      </w:r>
      <w:r>
        <w:rPr>
          <w:rFonts w:ascii="Times New Roman;serif" w:hAnsi="Times New Roman;serif"/>
          <w:b w:val="false"/>
          <w:color w:val="000000"/>
          <w:sz w:val="20"/>
          <w:u w:val="single"/>
        </w:rPr>
        <w:t>Fixed Rate</w:t>
      </w:r>
      <w:r>
        <w:rPr>
          <w:color w:val="000000"/>
        </w:rPr>
        <w:t xml:space="preserve"> </w:t>
      </w:r>
      <w:r>
        <w:rPr>
          <w:rFonts w:ascii="Times New Roman;serif" w:hAnsi="Times New Roman;serif"/>
          <w:b w:val="false"/>
          <w:color w:val="000000"/>
          <w:sz w:val="20"/>
          <w:u w:val="single"/>
        </w:rPr>
        <w:t>Period</w:t>
      </w:r>
      <w:r>
        <w:rPr>
          <w:color w:val="000000"/>
        </w:rPr>
        <w:t>”</w:t>
      </w:r>
      <w:r>
        <w:rPr>
          <w:rFonts w:ascii="Times New Roman;serif" w:hAnsi="Times New Roman;serif"/>
          <w:b w:val="false"/>
          <w:color w:val="000000"/>
          <w:sz w:val="20"/>
        </w:rPr>
        <w:t>) and (ii) from, and including, June 1, 2031 to, but excluding, the Stated Maturity Date, unless redeemed subsequent to June 1, 2031 but prior to the Stated Maturity Date, at a rate equal to Three-Month Term SOFR, reset quarterly, plus 245 basis points (2.45%), or such other rate as determined pursuant to the Fifth Supplemental Indenture, payable quarterly in arrears on March 1, June 1, September 1 and December 1 of each year (each, a “</w:t>
      </w:r>
      <w:r>
        <w:rPr>
          <w:rFonts w:ascii="Times New Roman;serif" w:hAnsi="Times New Roman;serif"/>
          <w:b w:val="false"/>
          <w:color w:val="000000"/>
          <w:sz w:val="20"/>
          <w:u w:val="single"/>
        </w:rPr>
        <w:t>Floating Rate Interest Payment Date</w:t>
      </w:r>
      <w:r>
        <w:rPr>
          <w:rFonts w:ascii="Times New Roman;serif" w:hAnsi="Times New Roman;serif"/>
          <w:b w:val="false"/>
          <w:color w:val="000000"/>
          <w:sz w:val="20"/>
        </w:rPr>
        <w:t>,” and together with the Fixed Rate Interest Payment Dates, the “</w:t>
      </w:r>
      <w:r>
        <w:rPr>
          <w:rFonts w:ascii="Times New Roman;serif" w:hAnsi="Times New Roman;serif"/>
          <w:b w:val="false"/>
          <w:color w:val="000000"/>
          <w:sz w:val="20"/>
          <w:u w:val="single"/>
        </w:rPr>
        <w:t>Interest Payment Dates</w:t>
      </w:r>
      <w:r>
        <w:rPr>
          <w:rFonts w:ascii="Times New Roman;serif" w:hAnsi="Times New Roman;serif"/>
          <w:b w:val="false"/>
          <w:color w:val="000000"/>
          <w:sz w:val="20"/>
        </w:rPr>
        <w:t xml:space="preserve">,” with the period from, and including, June 1, 2031 to, but excluding, the first Floating Rate Interest Payment Date and each successive period from, and including a Floating Rate Interest Payment Date to, but excluding, the next Floating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0"/>
        </w:rPr>
        <w:t>Rate Interest Payment Date being a “</w:t>
      </w:r>
      <w:r>
        <w:rPr>
          <w:rFonts w:ascii="Times New Roman;serif" w:hAnsi="Times New Roman;serif"/>
          <w:b w:val="false"/>
          <w:color w:val="000000"/>
          <w:sz w:val="20"/>
          <w:u w:val="single"/>
        </w:rPr>
        <w:t>Floating Rate Period</w:t>
      </w:r>
      <w:r>
        <w:rPr>
          <w:color w:val="000000"/>
        </w:rPr>
        <w:t>”</w:t>
      </w:r>
      <w:r>
        <w:rPr>
          <w:rFonts w:ascii="Times New Roman;serif" w:hAnsi="Times New Roman;serif"/>
          <w:b w:val="false"/>
          <w:color w:val="000000"/>
          <w:sz w:val="20"/>
        </w:rPr>
        <w:t xml:space="preserve">), commencing on September 1, 2031 through the Stated Maturity Date or earlier redemption date. The amount of interest payable on any Fixed Rate Interest Payment Date during the Fixed Rate Period will be computed on the basis of a 360-day year consisting of twelve 30-day months up to, but excluding June 1, 2031, and, the amount of interest payable on any Floating Rate Interest Payment Date during the Floating Rate Period will be computed on the basis of a 360-day year and the number of days actually elapsed. In the event that any scheduled Interest Payment Date or the Stated Maturity Date for the Notes falls on a day that is not a Business Day, then payment of interest payable on such Interest Payment Date or of principal and interest payable on the Stated Maturity Date will be paid on the next succeeding day which is a Business Day (any payment made on such date will be treated as being made on the date that the payment was first due and no interest on such payment will accrue for the period from and after such scheduled Interest Payment Date); provided, that in the event that any scheduled Floating Rate Interest Payment Date falls on a day that is not a Business Day and the next succeeding Business Day falls in the next succeeding calendar month, such Floating Rate Interest Payment Date will be accelerated to the immediately preceding Business Day, and, in each such case, the amounts payable on such Business Day will include interest accrued to but excluding such Business Day. All percentages used in or resulting from any calculation of Three-Month Term SOFR (or, if different, the then-current Benchmark) shall be rounded, if necessary, to the nearest one hundred-thousandth of a percentage point, with 0.000005% rounded up to 0.00001%. Dollar amounts resulting from that calculation will be rounded to the nearest cent, with one-half cent being rounded upward. </w:t>
      </w:r>
    </w:p>
    <w:p>
      <w:pPr>
        <w:pStyle w:val="TextBody"/>
        <w:bidi w:val="0"/>
        <w:spacing w:lineRule="auto" w:line="288" w:before="240" w:after="283"/>
        <w:jc w:val="left"/>
        <w:rPr/>
      </w:pPr>
      <w:r>
        <w:rPr>
          <w:rFonts w:ascii="Times New Roman;serif" w:hAnsi="Times New Roman;serif"/>
          <w:b w:val="false"/>
          <w:color w:val="000000"/>
          <w:sz w:val="20"/>
        </w:rPr>
        <w:t>The interest so payable, and punctually paid or duly provided for, on any Interest Payment Date will, as provided in the Indenture, be paid to the Person in whose name this Note is registered at the close of business on the 15</w:t>
      </w:r>
      <w:r>
        <w:rPr>
          <w:rFonts w:ascii="Times New Roman;serif" w:hAnsi="Times New Roman;serif"/>
          <w:b w:val="false"/>
          <w:color w:val="000000"/>
          <w:sz w:val="17"/>
        </w:rPr>
        <w:t>th</w:t>
      </w:r>
      <w:r>
        <w:rPr>
          <w:color w:val="000000"/>
        </w:rPr>
        <w:t xml:space="preserve"> </w:t>
      </w:r>
      <w:r>
        <w:rPr>
          <w:rFonts w:ascii="Times New Roman;serif" w:hAnsi="Times New Roman;serif"/>
          <w:b w:val="false"/>
          <w:color w:val="000000"/>
          <w:sz w:val="20"/>
        </w:rPr>
        <w:t xml:space="preserve">day of the month (whether or not a Business Day) immediately preceding such Interest Payment Date. Any such interest not so punctually paid or duly provided for will forthwith cease to be payable to the Holder on such relevant record date and may either be paid to the person in whose name this Note is registered at the close of business on a special record date for the payment of such defaulted interest to be fixed by the Company, notice whereof shall be given to Holders of the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the principal of (and premium, if any) and interest on this Note will be made at the office or agency of the Company maintained for that purpose, which shall initially be the Corporate Trust Office of the Trustee, in such currency of the United States of America as at the time of payment is legal tender for payment of public and private debts.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Reference is hereby made to the further provisions of this Note set forth on the reverse hereof, which further provisions shall for all purposes have the same effect as if set forth at this place.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certificate of authentication hereon has been executed by the Trustee referred to on the reverse hereof by manual signature, this Note shall not be entitled to any benefit under the Indenture or be valid or obligatory for any purpose. </w:t>
      </w:r>
    </w:p>
    <w:p>
      <w:pPr>
        <w:pStyle w:val="TextBody"/>
        <w:bidi w:val="0"/>
        <w:spacing w:lineRule="auto" w:line="288" w:before="24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Remainder of this page intentionally left blank. Signature page follows.</w:t>
      </w:r>
      <w:r>
        <w:rPr>
          <w:rFonts w:ascii="Times New Roman;serif" w:hAnsi="Times New Roman;serif"/>
          <w:b w:val="false"/>
          <w:color w:val="000000"/>
          <w:sz w:val="20"/>
        </w:rPr>
        <w:t>]</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WITNESS WHEREOF, the Company has caused this Note to be signed manually or by facsimile by its duly authorized officer. </w:t>
      </w:r>
    </w:p>
    <w:tbl>
      <w:tblPr>
        <w:tblW w:w="5727" w:type="dxa"/>
        <w:jc w:val="left"/>
        <w:tblInd w:w="0" w:type="dxa"/>
        <w:tblLayout w:type="fixed"/>
        <w:tblCellMar>
          <w:top w:w="28" w:type="dxa"/>
          <w:left w:w="28" w:type="dxa"/>
          <w:bottom w:w="28" w:type="dxa"/>
          <w:right w:w="28" w:type="dxa"/>
        </w:tblCellMar>
      </w:tblPr>
      <w:tblGrid>
        <w:gridCol w:w="323"/>
        <w:gridCol w:w="283"/>
        <w:gridCol w:w="283"/>
        <w:gridCol w:w="283"/>
        <w:gridCol w:w="283"/>
        <w:gridCol w:w="283"/>
        <w:gridCol w:w="1157"/>
        <w:gridCol w:w="1157"/>
        <w:gridCol w:w="1675"/>
      </w:tblGrid>
      <w:tr>
        <w:trPr/>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RENASANT CORPORATION</w:t>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Kevin D. Chapman</w:t>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lineRule="auto" w:line="288" w:before="0" w:after="0"/>
              <w:ind w:left="0" w:right="0" w:hanging="570"/>
              <w:jc w:val="left"/>
              <w:rPr>
                <w:rFonts w:ascii="Times New Roman;serif" w:hAnsi="Times New Roman;serif"/>
                <w:b w:val="false"/>
                <w:color w:val="000000"/>
                <w:sz w:val="20"/>
              </w:rPr>
            </w:pPr>
            <w:r>
              <w:rPr>
                <w:rFonts w:ascii="Times New Roman;serif" w:hAnsi="Times New Roman;serif"/>
                <w:b w:val="false"/>
                <w:color w:val="000000"/>
                <w:sz w:val="20"/>
              </w:rPr>
              <w:t>Title: President and Principal Executive Officer</w:t>
            </w:r>
          </w:p>
        </w:tc>
      </w:tr>
      <w:tr>
        <w:trPr/>
        <w:tc>
          <w:tcPr>
            <w:tcW w:w="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Global Note</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Global Note</w:t>
                      </w:r>
                      <w:r>
                        <w:rPr>
                          <w:rFonts w:ascii="Times New Roman;serif" w:hAnsi="Times New Roman;serif"/>
                          <w:b w:val="false"/>
                          <w:color w:val="000000"/>
                          <w:sz w:val="20"/>
                        </w:rPr>
                        <w:t>]</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TRUSTEE’S CERTIFICATE OF AUTHENTICATION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is one of the Notes of the series designated therein referred to in the within-mentioned Indenture.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of authentication: </w:t>
      </w:r>
    </w:p>
    <w:tbl>
      <w:tblPr>
        <w:tblW w:w="4446" w:type="dxa"/>
        <w:jc w:val="left"/>
        <w:tblInd w:w="0" w:type="dxa"/>
        <w:tblLayout w:type="fixed"/>
        <w:tblCellMar>
          <w:top w:w="28" w:type="dxa"/>
          <w:left w:w="28" w:type="dxa"/>
          <w:bottom w:w="28" w:type="dxa"/>
          <w:right w:w="28" w:type="dxa"/>
        </w:tblCellMar>
      </w:tblPr>
      <w:tblGrid>
        <w:gridCol w:w="397"/>
        <w:gridCol w:w="349"/>
        <w:gridCol w:w="349"/>
        <w:gridCol w:w="349"/>
        <w:gridCol w:w="349"/>
        <w:gridCol w:w="349"/>
        <w:gridCol w:w="671"/>
        <w:gridCol w:w="671"/>
        <w:gridCol w:w="962"/>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WILMINGTON TRUST, NATIONAL</w:t>
            </w:r>
          </w:p>
        </w:tc>
      </w:tr>
      <w:tr>
        <w:trPr/>
        <w:tc>
          <w:tcPr>
            <w:tcW w:w="4446"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ASSOCIATION</w:t>
            </w:r>
            <w:r>
              <w:rPr>
                <w:rFonts w:ascii="Times New Roman;serif" w:hAnsi="Times New Roman;serif"/>
                <w:b w:val="false"/>
                <w:color w:val="000000"/>
                <w:sz w:val="20"/>
              </w:rPr>
              <w:t>, as Trustee</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ind w:left="0" w:right="0" w:firstLine="400"/>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Global Note</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Global Note</w:t>
                      </w:r>
                      <w:r>
                        <w:rPr>
                          <w:rFonts w:ascii="Times New Roman;serif" w:hAnsi="Times New Roman;serif"/>
                          <w:b w:val="false"/>
                          <w:color w:val="000000"/>
                          <w:sz w:val="20"/>
                        </w:rPr>
                        <w: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REVERSE OF NOTE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RENASANT CORPORATION </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6.25% Fixed-to-Floating Rate Subordinated Notes due 2036 </w:t>
      </w:r>
    </w:p>
    <w:p>
      <w:pPr>
        <w:pStyle w:val="TextBody"/>
        <w:bidi w:val="0"/>
        <w:spacing w:lineRule="auto" w:line="288" w:before="240" w:after="283"/>
        <w:jc w:val="left"/>
        <w:rPr/>
      </w:pPr>
      <w:r>
        <w:rPr>
          <w:rFonts w:ascii="Times New Roman;serif" w:hAnsi="Times New Roman;serif"/>
          <w:b w:val="false"/>
          <w:color w:val="000000"/>
          <w:sz w:val="20"/>
        </w:rPr>
        <w:t>This Note is one of a duly authorized issue of Securities of the Company of a series designated as the “6.25% Fixed-to-Floating Rate Subordinated Notes due 2036” (herein called the “</w:t>
      </w:r>
      <w:r>
        <w:rPr>
          <w:rFonts w:ascii="Times New Roman;serif" w:hAnsi="Times New Roman;serif"/>
          <w:b w:val="false"/>
          <w:color w:val="000000"/>
          <w:sz w:val="20"/>
          <w:u w:val="single"/>
        </w:rPr>
        <w:t>Notes</w:t>
      </w:r>
      <w:r>
        <w:rPr>
          <w:color w:val="000000"/>
        </w:rPr>
        <w:t>”</w:t>
      </w:r>
      <w:r>
        <w:rPr>
          <w:rFonts w:ascii="Times New Roman;serif" w:hAnsi="Times New Roman;serif"/>
          <w:b w:val="false"/>
          <w:color w:val="000000"/>
          <w:sz w:val="20"/>
        </w:rPr>
        <w:t>) initially issued in an aggregate principal amount of $300,000,000 on May 7, 2026. Such series of Notes has been established pursuant to, and is one of an indefinite number of series of subordinated debt securities of the Company issued or issuable under and pursuant to the Indenture, dated as of August 22, 2016 (the “</w:t>
      </w:r>
      <w:r>
        <w:rPr>
          <w:rFonts w:ascii="Times New Roman;serif" w:hAnsi="Times New Roman;serif"/>
          <w:b w:val="false"/>
          <w:color w:val="000000"/>
          <w:sz w:val="20"/>
          <w:u w:val="single"/>
        </w:rPr>
        <w:t>Base Indenture</w:t>
      </w:r>
      <w:r>
        <w:rPr>
          <w:color w:val="000000"/>
        </w:rPr>
        <w:t>”</w:t>
      </w:r>
      <w:r>
        <w:rPr>
          <w:rFonts w:ascii="Times New Roman;serif" w:hAnsi="Times New Roman;serif"/>
          <w:b w:val="false"/>
          <w:color w:val="000000"/>
          <w:sz w:val="20"/>
        </w:rPr>
        <w:t>), between the Company and Wilmington Trust, National Association, as Trustee (herein called the “</w:t>
      </w:r>
      <w:r>
        <w:rPr>
          <w:rFonts w:ascii="Times New Roman;serif" w:hAnsi="Times New Roman;serif"/>
          <w:b w:val="false"/>
          <w:color w:val="000000"/>
          <w:sz w:val="20"/>
          <w:u w:val="single"/>
        </w:rPr>
        <w:t>Trustee</w:t>
      </w:r>
      <w:r>
        <w:rPr>
          <w:rFonts w:ascii="Times New Roman;serif" w:hAnsi="Times New Roman;serif"/>
          <w:b w:val="false"/>
          <w:color w:val="000000"/>
          <w:sz w:val="20"/>
        </w:rPr>
        <w:t>,” which term includes any successor trustee), as supplemented and amended by the First Supplemental Indenture between the Company and the Trustee, dated as of August 22, 2016 (the “</w:t>
      </w:r>
      <w:r>
        <w:rPr>
          <w:rFonts w:ascii="Times New Roman;serif" w:hAnsi="Times New Roman;serif"/>
          <w:b w:val="false"/>
          <w:color w:val="000000"/>
          <w:sz w:val="20"/>
          <w:u w:val="single"/>
        </w:rPr>
        <w:t>First Supplemental Indenture</w:t>
      </w:r>
      <w:r>
        <w:rPr>
          <w:rFonts w:ascii="Times New Roman;serif" w:hAnsi="Times New Roman;serif"/>
          <w:b w:val="false"/>
          <w:color w:val="000000"/>
          <w:sz w:val="20"/>
        </w:rPr>
        <w:t>,”), the Second Supplemental Indenture between the Company and the Trustee, dated as of August 22, 2016 (the “</w:t>
      </w:r>
      <w:r>
        <w:rPr>
          <w:rFonts w:ascii="Times New Roman;serif" w:hAnsi="Times New Roman;serif"/>
          <w:b w:val="false"/>
          <w:color w:val="000000"/>
          <w:sz w:val="20"/>
          <w:u w:val="single"/>
        </w:rPr>
        <w:t>Second Supplemental Indenture</w:t>
      </w:r>
      <w:r>
        <w:rPr>
          <w:color w:val="000000"/>
        </w:rPr>
        <w:t>”</w:t>
      </w:r>
      <w:r>
        <w:rPr>
          <w:rFonts w:ascii="Times New Roman;serif" w:hAnsi="Times New Roman;serif"/>
          <w:b w:val="false"/>
          <w:color w:val="000000"/>
          <w:sz w:val="20"/>
        </w:rPr>
        <w:t>), the Third Supplemental Indenture between the Company and the Trustee, dated as of September 3, 2020, the First Amendment to the Third Supplemental Indenture, dated as of November 24, 2021 (collectively, the “</w:t>
      </w:r>
      <w:r>
        <w:rPr>
          <w:rFonts w:ascii="Times New Roman;serif" w:hAnsi="Times New Roman;serif"/>
          <w:b w:val="false"/>
          <w:color w:val="000000"/>
          <w:sz w:val="20"/>
          <w:u w:val="single"/>
        </w:rPr>
        <w:t>Third Supplemental Indenture</w:t>
      </w:r>
      <w:r>
        <w:rPr>
          <w:rFonts w:ascii="Times New Roman;serif" w:hAnsi="Times New Roman;serif"/>
          <w:b w:val="false"/>
          <w:color w:val="000000"/>
          <w:sz w:val="20"/>
        </w:rPr>
        <w:t>,”), the Fourth Supplemental Indenture between the Company and the Trustee, dated as of November 23, 2021 (the “</w:t>
      </w:r>
      <w:r>
        <w:rPr>
          <w:rFonts w:ascii="Times New Roman;serif" w:hAnsi="Times New Roman;serif"/>
          <w:b w:val="false"/>
          <w:color w:val="000000"/>
          <w:sz w:val="20"/>
          <w:u w:val="single"/>
        </w:rPr>
        <w:t>Fourth Supplemental Indenture</w:t>
      </w:r>
      <w:r>
        <w:rPr>
          <w:color w:val="000000"/>
        </w:rPr>
        <w:t>”</w:t>
      </w:r>
      <w:r>
        <w:rPr>
          <w:rFonts w:ascii="Times New Roman;serif" w:hAnsi="Times New Roman;serif"/>
          <w:b w:val="false"/>
          <w:color w:val="000000"/>
          <w:sz w:val="20"/>
        </w:rPr>
        <w:t>) and the Fifth Supplemental Indenture between the Company and the Trustee, dated as of May 7, 2026 (the “</w:t>
      </w:r>
      <w:r>
        <w:rPr>
          <w:rFonts w:ascii="Times New Roman;serif" w:hAnsi="Times New Roman;serif"/>
          <w:b w:val="false"/>
          <w:color w:val="000000"/>
          <w:sz w:val="20"/>
          <w:u w:val="single"/>
        </w:rPr>
        <w:t>Fifth Supplemental Indenture</w:t>
      </w:r>
      <w:r>
        <w:rPr>
          <w:rFonts w:ascii="Times New Roman;serif" w:hAnsi="Times New Roman;serif"/>
          <w:b w:val="false"/>
          <w:color w:val="000000"/>
          <w:sz w:val="20"/>
        </w:rPr>
        <w:t>,” and the Base Indenture as supplemented and amended by the First Supplemental Indenture, the Second Supplemental Indenture, the Third Supplemental Indenture, the Fourth Supplemental Indenture and the Fifth Supplemental Indenture, the “</w:t>
      </w:r>
      <w:r>
        <w:rPr>
          <w:rFonts w:ascii="Times New Roman;serif" w:hAnsi="Times New Roman;serif"/>
          <w:b w:val="false"/>
          <w:color w:val="000000"/>
          <w:sz w:val="20"/>
          <w:u w:val="single"/>
        </w:rPr>
        <w:t>Indenture</w:t>
      </w:r>
      <w:r>
        <w:rPr>
          <w:color w:val="000000"/>
        </w:rPr>
        <w:t>”</w:t>
      </w:r>
      <w:r>
        <w:rPr>
          <w:rFonts w:ascii="Times New Roman;serif" w:hAnsi="Times New Roman;serif"/>
          <w:b w:val="false"/>
          <w:color w:val="000000"/>
          <w:sz w:val="20"/>
        </w:rPr>
        <w:t>), to which Indenture and any other indentures supplemental thereto reference is hereby made for a statement of the respective rights, limitations of rights, duties and immunities thereunder of the Company, the Trustee and the Persons in whose names Notes are registered from time to time and of the terms upon which the Notes are, and are to be, authenticated and delivered. The terms, conditions and provisions of the Notes are those stated in the Indenture, those made part of the Indenture by reference to the Trust Indenture Act of 1939, as amended (the “</w:t>
      </w:r>
      <w:r>
        <w:rPr>
          <w:rFonts w:ascii="Times New Roman;serif" w:hAnsi="Times New Roman;serif"/>
          <w:b w:val="false"/>
          <w:color w:val="000000"/>
          <w:sz w:val="20"/>
          <w:u w:val="single"/>
        </w:rPr>
        <w:t>Trust Indenture Act</w:t>
      </w:r>
      <w:r>
        <w:rPr>
          <w:color w:val="000000"/>
        </w:rPr>
        <w:t>”</w:t>
      </w:r>
      <w:r>
        <w:rPr>
          <w:rFonts w:ascii="Times New Roman;serif" w:hAnsi="Times New Roman;serif"/>
          <w:b w:val="false"/>
          <w:color w:val="000000"/>
          <w:sz w:val="20"/>
        </w:rPr>
        <w:t xml:space="preserve">), and those set forth in this Note. To the extent that the terms, conditions and provisions of this Note modify, supplement or are inconsistent with those of the Indenture, then the terms, conditions and other provisions of this Note shall govern to the extent that such terms, conditions and other provisions of this Note are not inconsistent with the terms, conditions and provisions made part of the Indenture by reference to the Trust Indenture Act.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capitalized terms used in this Note and not defined herein that are defined in the Indenture shall have the meanings assigned to them in the Indenture. To the extent that any capitalized term used in this Note and defined herein is also defined in the Indenture but conflicts with the definition provided in the Indenture, the definition of the capitalized term in this Note shall control. </w:t>
      </w:r>
    </w:p>
    <w:p>
      <w:pPr>
        <w:pStyle w:val="TextBody"/>
        <w:bidi w:val="0"/>
        <w:spacing w:lineRule="auto" w:line="288" w:before="240" w:after="283"/>
        <w:jc w:val="left"/>
        <w:rPr/>
      </w:pPr>
      <w:r>
        <w:rPr>
          <w:rFonts w:ascii="Times New Roman;serif" w:hAnsi="Times New Roman;serif"/>
          <w:b w:val="false"/>
          <w:color w:val="000000"/>
          <w:sz w:val="20"/>
        </w:rPr>
        <w:t xml:space="preserve">The indebtedness of the Company evidenced by the Notes, including the principal thereof, premium, if any, Additional Amounts, if any, and interest thereon, is, to the extent and in the manner set forth in the Indenture, subordinate and subject in right of payment to the prior payment in full of all Senior Indebtedness, whether outstanding at the date hereof or hereafter incurred, and on the terms and subject to the terms and conditions set forth in the Indenture, and shall rank </w:t>
      </w:r>
      <w:r>
        <w:rPr>
          <w:rFonts w:ascii="Times New Roman;serif" w:hAnsi="Times New Roman;serif"/>
          <w:b w:val="false"/>
          <w:i/>
          <w:color w:val="000000"/>
          <w:sz w:val="20"/>
        </w:rPr>
        <w:t xml:space="preserve">pari passu </w:t>
      </w:r>
      <w:r>
        <w:rPr>
          <w:rFonts w:ascii="Times New Roman;serif" w:hAnsi="Times New Roman;serif"/>
          <w:b w:val="false"/>
          <w:color w:val="000000"/>
          <w:sz w:val="20"/>
        </w:rPr>
        <w:t xml:space="preserve">in right of payment with all other Securities and with all other unsecured subordinated indebtedness of the Company and not by its terms subordinate and subject in right of payment to the prior payment in full of debentures, notes, bonds or other evidences of indebtedness of types that include the Notes. Each Holder of this Note, by the acceptance hereof, (a) agrees to and shall be bound by such provisions of the Indenture, (b) authorizes and directs the Trustee on his or her behalf to take such actions as may be necessary or appropriate to effectuate the subordination so provided, and (c) appoints the Trustee his or her attorney-in-fact for any and all such purposes. Each Holder hereof, by his or her acceptance hereof, waives all notice of the acceptance of the subordination provisions contained herein and in the Indenture by each holder of Senior Indebtedness, whether now outstanding or hereafter created, incurred, assumed or guaranteed, and waives reliance by each such holder upon said provisions.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contains provisions for defeasance at any time of certain restrictive covenants and Events of Default with respect to this Note, in each case upon compliance with certain conditions set forth in the Indenture. If certain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Events of Default with respect to the Notes shall occur and be continuing, the principal of the Notes shall be immediately accelerated in the manner and with the effect provided in the Indenture. </w:t>
      </w:r>
    </w:p>
    <w:p>
      <w:pPr>
        <w:pStyle w:val="TextBody"/>
        <w:bidi w:val="0"/>
        <w:spacing w:lineRule="auto" w:line="288" w:before="240" w:after="283"/>
        <w:jc w:val="left"/>
        <w:rPr/>
      </w:pPr>
      <w:r>
        <w:rPr>
          <w:rFonts w:ascii="Times New Roman;serif" w:hAnsi="Times New Roman;serif"/>
          <w:b w:val="false"/>
          <w:color w:val="000000"/>
          <w:sz w:val="20"/>
        </w:rPr>
        <w:t>The Notes are intended to be treated as Tier 2 capital (or its then-equivalent if the Company were subject to such capital requirement) for purposes of capital adequacy guidelines of the Board of Governors of the Federal Reserve System (or, as and if applicable, the capital adequacy rules or regulations of any appropriate successor federal banking agency) (the “</w:t>
      </w:r>
      <w:r>
        <w:rPr>
          <w:rFonts w:ascii="Times New Roman;serif" w:hAnsi="Times New Roman;serif"/>
          <w:b w:val="false"/>
          <w:color w:val="000000"/>
          <w:sz w:val="20"/>
          <w:u w:val="single"/>
        </w:rPr>
        <w:t>Federal Reserve Board</w:t>
      </w:r>
      <w:r>
        <w:rPr>
          <w:color w:val="000000"/>
        </w:rPr>
        <w:t>”</w:t>
      </w:r>
      <w:r>
        <w:rPr>
          <w:rFonts w:ascii="Times New Roman;serif" w:hAnsi="Times New Roman;serif"/>
          <w:b w:val="false"/>
          <w:color w:val="000000"/>
          <w:sz w:val="20"/>
        </w:rPr>
        <w:t xml:space="preserve">) as then in effect and applicable to the Company. If an Event of Default with respect to Notes shall occur and be continuing, the principal and interest owed on the Notes shall only become due and payable in accordance with the terms and conditions set forth in Article VI of the Base Indenture and Section 3.02(n) and (p) of the Fifth Supplemental Indenture. </w:t>
      </w:r>
      <w:r>
        <w:rPr>
          <w:rFonts w:ascii="Times New Roman;serif" w:hAnsi="Times New Roman;serif"/>
          <w:b/>
          <w:color w:val="000000"/>
          <w:sz w:val="20"/>
        </w:rPr>
        <w:t>Accordingly, the Holder of this Note has no right to accelerate the maturity of this Note in the event that the Company fails to pay interest on any of the Notes, or fails to perform any other obligations under the Notes or in the Indenture that are applicable to the Notes.</w:t>
      </w:r>
    </w:p>
    <w:p>
      <w:pPr>
        <w:pStyle w:val="TextBody"/>
        <w:bidi w:val="0"/>
        <w:spacing w:lineRule="auto" w:line="288" w:before="240" w:after="283"/>
        <w:jc w:val="left"/>
        <w:rPr/>
      </w:pPr>
      <w:r>
        <w:rPr>
          <w:rFonts w:ascii="Times New Roman;serif" w:hAnsi="Times New Roman;serif"/>
          <w:b w:val="false"/>
          <w:color w:val="000000"/>
          <w:sz w:val="20"/>
        </w:rPr>
        <w:t>The Company may, at its option, redeem the Notes, in whole or in part, at a redemption price equal to 100% of the principal amount of the Notes to be redeemed, plus accrued and unpaid interest (the “</w:t>
      </w:r>
      <w:r>
        <w:rPr>
          <w:rFonts w:ascii="Times New Roman;serif" w:hAnsi="Times New Roman;serif"/>
          <w:b w:val="false"/>
          <w:color w:val="000000"/>
          <w:sz w:val="20"/>
          <w:u w:val="single"/>
        </w:rPr>
        <w:t>Redemption Price</w:t>
      </w:r>
      <w:r>
        <w:rPr>
          <w:color w:val="000000"/>
        </w:rPr>
        <w:t>”</w:t>
      </w:r>
      <w:r>
        <w:rPr>
          <w:rFonts w:ascii="Times New Roman;serif" w:hAnsi="Times New Roman;serif"/>
          <w:b w:val="false"/>
          <w:color w:val="000000"/>
          <w:sz w:val="20"/>
        </w:rPr>
        <w:t>) to but excluding, the date of redemption (the “</w:t>
      </w:r>
      <w:r>
        <w:rPr>
          <w:rFonts w:ascii="Times New Roman;serif" w:hAnsi="Times New Roman;serif"/>
          <w:b w:val="false"/>
          <w:color w:val="000000"/>
          <w:sz w:val="20"/>
          <w:u w:val="single"/>
        </w:rPr>
        <w:t>Redemption Date</w:t>
      </w:r>
      <w:r>
        <w:rPr>
          <w:color w:val="000000"/>
        </w:rPr>
        <w:t>”</w:t>
      </w:r>
      <w:r>
        <w:rPr>
          <w:rFonts w:ascii="Times New Roman;serif" w:hAnsi="Times New Roman;serif"/>
          <w:b w:val="false"/>
          <w:color w:val="000000"/>
          <w:sz w:val="20"/>
        </w:rPr>
        <w:t xml:space="preserve">), on any date on or after June 1, 2031. The Company may also, at its option, redeem the Notes before the Stated Maturity Date, in whole, but not in part, at any time, upon the occurrence of a Tier 2 Capital Event, a Tax Event or if the Company is required to register as an investment company pursuant to the Investment Company Act of 1940, as amended. Any such redemption will be at a redemption price equal to the Redemption Price to, but excluding, the Redemption Date fixed by the Company. No redemption of the Notes by the Company prior to the Stated Maturity Date shall be made without the prior approval of the Federal Reserve Board if such prior approval is or will be required at the scheduled Redemption Date. The provisions of Article III of the Base Indenture and Section 3.02(h) of the Fifth Supplemental Indenture shall apply to the redemption of any Notes by the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any payment on the Notes is subject to withholding of any U.S. federal income tax or other tax or assessment (as a result of a change in law or otherwise), the Company will not pay Additional Amounts with respect to such tax or assessment.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Notes are not entitled to the benefit of any sinking fund. The Notes are not convertible into, or exchangeable for, equity securities, other securities, or assets or property of the Company or any Subsidiary of the Company.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permits, with certain exceptions as therein provided, the amendment thereof and the modification of the rights and obligations of the Company and the rights of the Holders of the Notes at any time by the Company and the Trustee with the consent of the Holders of at least a majority in principal amount of the Notes at the time outstanding. The Indenture also contains provisions permitting the Holders of specified percentages in principal amount of the Notes at the time outstanding, on behalf of the Holders of all Notes,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therefor or in lieu hereof, whether or not notation of such consent or waiver is made upon this Note.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25% in principal amount of the Notes at the time outstanding shall have made written request to the Trustee to institute proceedings in respect of such Event of Default and offered the Trustee indemnity satisfactory to it, and the Trustee shall not have received from the Holders of a majority in principal amount of Notes at the time outstanding a direction inconsistent with such request, and shall have failed to institute any such proceeding, for 60 days after receipt of such notice, request and offer of indemnity. The foregoing shall not apply to any suit instituted by the Holder of this Note for the enforcement of any payment of principal hereof or any premium or interest hereon on or after the respective due dates expressed herein. No reference herein to the Indenture and no provision of this Note or of the Indenture shall alter or impair the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obligation of the Company, which is absolute and unconditional, to pay the principal of and any premium and interest on this Note at the times, place and rate, and in the coin or currency, herein prescribed.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provided in the Indenture and subject to certain limitations therein set forth, the transfer of this Note is registrable in the Register described in Section 2.7 of the Base Indenture, upon surrender of this Note for registration of transfer at the office or agency of the Company in any place where the principal of and interest on this Note are payable, duly endorsed by, or accompanied by a written instrument of transfer in form satisfactory to the Company and the Registrar duly executed by the Holder hereof or his attorney duly authorized in writing, and thereupon one or more new Notes, of authorized denominations and for the same aggregate principal amount, will be issued to the designated transferee or transferees.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Notes are issuable only in registered form without coupons in minimum denominations of $1,000 and any integral multiples of $1,000 in excess thereof. No service charge shall be made for any such registration of transfer or exchange, but the Company may require payment of a sum sufficient to cover any tax or other governmental charge payable in connection therewith.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the Trustee and any agent of the Company or the Trustee may treat the Person in whose name this Note is registered as the owner hereof for all purposes, whether or not this Note is overdue, and neither the Company, the Trustee nor any such agent shall be affected by notice to the contrary. </w:t>
      </w:r>
    </w:p>
    <w:p>
      <w:pPr>
        <w:pStyle w:val="TextBody"/>
        <w:bidi w:val="0"/>
        <w:spacing w:lineRule="auto" w:line="288" w:before="240" w:after="283"/>
        <w:jc w:val="left"/>
        <w:rPr/>
      </w:pPr>
      <w:r>
        <w:rPr>
          <w:rFonts w:ascii="Times New Roman;serif" w:hAnsi="Times New Roman;serif"/>
          <w:b/>
          <w:color w:val="000000"/>
          <w:sz w:val="20"/>
        </w:rPr>
        <w:t>This Note is a global note, represented by one or more permanent global certificates registered in the name of the nominee of The Depository Trust Company (each a “</w:t>
      </w:r>
      <w:r>
        <w:rPr>
          <w:rFonts w:ascii="Times New Roman;serif" w:hAnsi="Times New Roman;serif"/>
          <w:b/>
          <w:color w:val="000000"/>
          <w:sz w:val="20"/>
          <w:u w:val="single"/>
        </w:rPr>
        <w:t>Global Note</w:t>
      </w:r>
      <w:r>
        <w:rPr>
          <w:color w:val="000000"/>
        </w:rPr>
        <w:t xml:space="preserve">” </w:t>
      </w:r>
      <w:r>
        <w:rPr>
          <w:rFonts w:ascii="Times New Roman;serif" w:hAnsi="Times New Roman;serif"/>
          <w:b/>
          <w:color w:val="000000"/>
          <w:sz w:val="20"/>
        </w:rPr>
        <w:t>and collectively, the “</w:t>
      </w:r>
      <w:r>
        <w:rPr>
          <w:rFonts w:ascii="Times New Roman;serif" w:hAnsi="Times New Roman;serif"/>
          <w:b/>
          <w:color w:val="000000"/>
          <w:sz w:val="20"/>
          <w:u w:val="single"/>
        </w:rPr>
        <w:t>Global Notes</w:t>
      </w:r>
      <w:r>
        <w:rPr>
          <w:color w:val="000000"/>
        </w:rPr>
        <w:t>”</w:t>
      </w:r>
      <w:r>
        <w:rPr>
          <w:rFonts w:ascii="Times New Roman;serif" w:hAnsi="Times New Roman;serif"/>
          <w:b/>
          <w:color w:val="000000"/>
          <w:sz w:val="20"/>
        </w:rPr>
        <w:t>). Accordingly, unless and until it is exchanged for individual certificates, this Note may not be transferred except as a whole by The Depository Trust Company (the “</w:t>
      </w:r>
      <w:r>
        <w:rPr>
          <w:rFonts w:ascii="Times New Roman;serif" w:hAnsi="Times New Roman;serif"/>
          <w:b/>
          <w:color w:val="000000"/>
          <w:sz w:val="20"/>
          <w:u w:val="single"/>
        </w:rPr>
        <w:t>Depositary</w:t>
      </w:r>
      <w:r>
        <w:rPr>
          <w:color w:val="000000"/>
        </w:rPr>
        <w:t>”</w:t>
      </w:r>
      <w:r>
        <w:rPr>
          <w:rFonts w:ascii="Times New Roman;serif" w:hAnsi="Times New Roman;serif"/>
          <w:b/>
          <w:color w:val="000000"/>
          <w:sz w:val="20"/>
        </w:rPr>
        <w:t>) to a nominee of such Depositary or by a nominee of such Depositary or by the Depositary or any nominee to a successor Depositary or any nominee of such successor. Ownership of beneficial interests in this Note will be shown on, and the transfer of that ownership will be effected only through, records maintained by the applicable Depositary or its nominee (with respect to interest of persons that have accounts with the Depositary (“</w:t>
      </w:r>
      <w:r>
        <w:rPr>
          <w:rFonts w:ascii="Times New Roman;serif" w:hAnsi="Times New Roman;serif"/>
          <w:b/>
          <w:color w:val="000000"/>
          <w:sz w:val="20"/>
          <w:u w:val="single"/>
        </w:rPr>
        <w:t>Participants</w:t>
      </w:r>
      <w:r>
        <w:rPr>
          <w:color w:val="000000"/>
        </w:rPr>
        <w:t>”</w:t>
      </w:r>
      <w:r>
        <w:rPr>
          <w:rFonts w:ascii="Times New Roman;serif" w:hAnsi="Times New Roman;serif"/>
          <w:b/>
          <w:color w:val="000000"/>
          <w:sz w:val="20"/>
        </w:rPr>
        <w:t xml:space="preserve">)) and the records of Participants (with respect to interests of persons other than Participants). Beneficial interests in Notes owned by persons that hold through Participants will be evidenced only by, and transfers of such beneficial interests with such Participants will be effected only through, records maintained by such Participants. Except as provided below, owners of beneficial interests in this Note will not be entitled to have any individual certificates and will not be considered the owners or Holders thereof under the Indenture.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Except in the limited circumstances set forth in the Base Indenture, Participants and owners of beneficial interests in the Global Notes will not be entitled to receive Notes in the form of individual Securities and will not be considered Holders of Notes. None of the Company, the Trustee, the Registrar, the Paying Agent or any of their respective agents will be liable for any delay by the Depositary, its nominee or any direct or indirect Participant in identifying the beneficial owners of the related Notes. The Company, the Trustee, the Registrar, the Paying Agent and each of their respective agents may conclusively rely on, and will be protected in relying on, instructions from the Depositary or its nominee for all purposes, including with respect to the registration and delivery, and the respective principal amounts, of the Notes to be issued.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Except as provided in Section 2.14 of the Base Indenture, beneficial owners of Global Notes will not be entitled to receive physical delivery of Notes in the form of individual Securities, and no Global Note will be exchangeable except for another Global Note of like denomination and tenor to be registered in the name of the Depositary or its nominee. Accordingly, each person owning a beneficial interest in a Global Note must rely on the procedures of the Depositary and, if such person is not a Participant, on the procedures of the Participant through which such person owns its interest, to exercise any rights of a Holder under the Notes.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The laws of some jurisdictions may require that certain purchasers of securities take physical delivery of those securities in definitive form. Accordingly, the ability to transfer interests in the Notes represented by a Global Note to those persons may be limited. In addition, because the Depositary can act only on behalf of its Participants, who in turn act on behalf of persons who hold interests through Participants, the ability of a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person having an interest in Notes represented by a Global Note to pledge or transfer such interest to persons or entities that do not participate in the Depositary’s system, or otherwise to take actions in respect of such interest, may be affected by the lack of a physical definitive security in respect of such interest. None of the Company, the Trustee, the Paying Agent and the Registrar will have any responsibility or liability for any aspect of the records relating to or payments made on account of Notes by the Depositary, or for maintaining, supervising or reviewing any records of the Depositary relating to the Notes.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Trustee will act as the Company’s Paying Agent with respect to the Notes through its Corporate Trust Office presently located at 1100 North Market Street, Wilmington, Delaware 19890. The Company may at any time rescind the designation of a Paying Agent, appoint a successor Paying Agent, or approve a change in the office through which any Paying Agent acts.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Notices to the Holders of registered Notes in the form of individual Securities will be given to such Holders at their respective addresses in the Register, or in the case of Global Notes, electronic delivery in accordance with DTC’s applicable procedures. The Indenture contains provisions setting forth certain conditions to the institution of proceedings by the Holders of Notes with respect to the Indenture or for any remedy under the Indenture.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NOTE SHALL BE DEEMED TO BE A CONTRACT MADE UNDER THE LAWS OF THE STATE OF NEW YORK.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ASSIGNMENT FORM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 assign the within Note, fill in the form below: I or we assign and transfer the within Note to: </w:t>
      </w:r>
    </w:p>
    <w:tbl>
      <w:tblPr>
        <w:tblW w:w="4409" w:type="dxa"/>
        <w:jc w:val="left"/>
        <w:tblInd w:w="0" w:type="dxa"/>
        <w:tblLayout w:type="fixed"/>
        <w:tblCellMar>
          <w:top w:w="28" w:type="dxa"/>
          <w:left w:w="28" w:type="dxa"/>
          <w:bottom w:w="28" w:type="dxa"/>
          <w:right w:w="28" w:type="dxa"/>
        </w:tblCellMar>
      </w:tblPr>
      <w:tblGrid>
        <w:gridCol w:w="1411"/>
        <w:gridCol w:w="1236"/>
        <w:gridCol w:w="1762"/>
      </w:tblGrid>
      <w:tr>
        <w:trPr/>
        <w:tc>
          <w:tcPr>
            <w:tcW w:w="1411"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(Insert assignee’s legal name)</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(Insert assignee’s social security or tax I.D. number)</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(Print or type assignee’s name, address and zip code)</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and irrevocably appoint the Trustee as agent to transfer this Note on the books of Renasant Corporation. The agent may substitute another to act for it.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Your Signature: </w:t>
      </w:r>
    </w:p>
    <w:p>
      <w:pPr>
        <w:pStyle w:val="TextBody"/>
        <w:bidi w:val="0"/>
        <w:spacing w:lineRule="auto" w:line="288" w:before="240" w:after="283"/>
        <w:jc w:val="left"/>
        <w:rPr/>
      </w:pPr>
      <w:r>
        <w:rPr>
          <w:rFonts w:ascii="Times New Roman;serif" w:hAnsi="Times New Roman;serif"/>
          <w:b w:val="false"/>
          <w:color w:val="000000"/>
          <w:sz w:val="20"/>
        </w:rPr>
        <w:t>(</w:t>
      </w:r>
      <w:r>
        <w:rPr>
          <w:rFonts w:ascii="Times New Roman;serif" w:hAnsi="Times New Roman;serif"/>
          <w:b w:val="false"/>
          <w:i/>
          <w:color w:val="000000"/>
          <w:sz w:val="20"/>
        </w:rPr>
        <w:t>Sign exactly as your name appears on the other side of this Security</w:t>
      </w:r>
      <w:r>
        <w:rPr>
          <w:rFonts w:ascii="Times New Roman;serif" w:hAnsi="Times New Roman;serif"/>
          <w:b w:val="false"/>
          <w:color w:val="000000"/>
          <w:sz w:val="2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Your Name: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Signature Guarantee: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SIGNATURE GUARANTEE </w:t>
      </w:r>
    </w:p>
    <w:p>
      <w:pPr>
        <w:pStyle w:val="TextBody"/>
        <w:bidi w:val="0"/>
        <w:spacing w:lineRule="auto" w:line="288" w:before="240" w:after="283"/>
        <w:jc w:val="left"/>
        <w:rPr/>
      </w:pPr>
      <w:r>
        <w:rPr>
          <w:rFonts w:ascii="Times New Roman;serif" w:hAnsi="Times New Roman;serif"/>
          <w:b w:val="false"/>
          <w:color w:val="000000"/>
          <w:sz w:val="20"/>
        </w:rPr>
        <w:t>Signatures must be guaranteed by an “eligible guarantor institution” meeting the requirements of the Registrar, which requirements include membership or participation in the Security Transfer Agent Medallion Program (“</w:t>
      </w:r>
      <w:r>
        <w:rPr>
          <w:rFonts w:ascii="Times New Roman;serif" w:hAnsi="Times New Roman;serif"/>
          <w:b w:val="false"/>
          <w:color w:val="000000"/>
          <w:sz w:val="20"/>
          <w:u w:val="single"/>
        </w:rPr>
        <w:t>STAMP</w:t>
      </w:r>
      <w:r>
        <w:rPr>
          <w:color w:val="000000"/>
        </w:rPr>
        <w:t>”</w:t>
      </w:r>
      <w:r>
        <w:rPr>
          <w:rFonts w:ascii="Times New Roman;serif" w:hAnsi="Times New Roman;serif"/>
          <w:b w:val="false"/>
          <w:color w:val="000000"/>
          <w:sz w:val="20"/>
        </w:rPr>
        <w:t xml:space="preserve">) or such other “signature guarantee program” as may be determined by the Registrar in addition to, or in substitution for, STAMP, all in accordance with the Securities Exchange Act of 1934, as amended.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SCHEDULE OF INCREASES OR DECREASES IN GLOBAL NOTE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principal amount of this Global Note is $300,000,000. The following increases or decreases in the principal amount of this Global Note have been made: </w:t>
      </w:r>
    </w:p>
    <w:tbl>
      <w:tblPr>
        <w:tblW w:w="6661" w:type="dxa"/>
        <w:jc w:val="left"/>
        <w:tblInd w:w="0" w:type="dxa"/>
        <w:tblLayout w:type="fixed"/>
        <w:tblCellMar>
          <w:top w:w="28" w:type="dxa"/>
          <w:left w:w="28" w:type="dxa"/>
          <w:bottom w:w="28" w:type="dxa"/>
          <w:right w:w="28" w:type="dxa"/>
        </w:tblCellMar>
      </w:tblPr>
      <w:tblGrid>
        <w:gridCol w:w="168"/>
        <w:gridCol w:w="148"/>
        <w:gridCol w:w="150"/>
        <w:gridCol w:w="109"/>
        <w:gridCol w:w="109"/>
        <w:gridCol w:w="109"/>
        <w:gridCol w:w="449"/>
        <w:gridCol w:w="449"/>
        <w:gridCol w:w="451"/>
        <w:gridCol w:w="109"/>
        <w:gridCol w:w="109"/>
        <w:gridCol w:w="109"/>
        <w:gridCol w:w="449"/>
        <w:gridCol w:w="449"/>
        <w:gridCol w:w="451"/>
        <w:gridCol w:w="109"/>
        <w:gridCol w:w="109"/>
        <w:gridCol w:w="109"/>
        <w:gridCol w:w="379"/>
        <w:gridCol w:w="379"/>
        <w:gridCol w:w="381"/>
        <w:gridCol w:w="109"/>
        <w:gridCol w:w="109"/>
        <w:gridCol w:w="109"/>
        <w:gridCol w:w="307"/>
        <w:gridCol w:w="307"/>
        <w:gridCol w:w="436"/>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decrease 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principal amount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this</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increase 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principal amount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this</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Global 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Principal</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this</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Global Note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following such</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decrease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or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Signature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authorized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signatory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Trustee</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FIRST AMENDMENT TO EMPLOYMENT AGREEMENT</w:t>
      </w:r>
    </w:p>
    <w:p>
      <w:pPr>
        <w:pStyle w:val="TextBody"/>
        <w:bidi w:val="0"/>
        <w:spacing w:lineRule="auto" w:line="288" w:before="0" w:after="240"/>
        <w:jc w:val="left"/>
        <w:rPr/>
      </w:pPr>
      <w:r>
        <w:rPr>
          <w:rFonts w:ascii="Times New Roman;serif" w:hAnsi="Times New Roman;serif"/>
          <w:b w:val="false"/>
          <w:color w:val="000000"/>
          <w:sz w:val="24"/>
        </w:rPr>
        <w:t>This FIRST AMENDMENT TO EMPLOYMENT AGREEMENT (this “</w:t>
      </w:r>
      <w:r>
        <w:rPr>
          <w:rFonts w:ascii="Times New Roman;serif" w:hAnsi="Times New Roman;serif"/>
          <w:b/>
          <w:i/>
          <w:color w:val="000000"/>
          <w:sz w:val="24"/>
        </w:rPr>
        <w:t>First Amendment</w:t>
      </w:r>
      <w:r>
        <w:rPr>
          <w:color w:val="000000"/>
        </w:rPr>
        <w:t>”</w:t>
      </w:r>
      <w:r>
        <w:rPr>
          <w:rFonts w:ascii="Times New Roman;serif" w:hAnsi="Times New Roman;serif"/>
          <w:b w:val="false"/>
          <w:color w:val="000000"/>
          <w:sz w:val="24"/>
        </w:rPr>
        <w:t>) is made and entered into by and between M. Ray (Hoppy) Cole, Jr. (“</w:t>
      </w:r>
      <w:r>
        <w:rPr>
          <w:rFonts w:ascii="Times New Roman;serif" w:hAnsi="Times New Roman;serif"/>
          <w:b/>
          <w:i/>
          <w:color w:val="000000"/>
          <w:sz w:val="24"/>
        </w:rPr>
        <w:t>Executive</w:t>
      </w:r>
      <w:r>
        <w:rPr>
          <w:color w:val="000000"/>
        </w:rPr>
        <w:t>”</w:t>
      </w:r>
      <w:r>
        <w:rPr>
          <w:rFonts w:ascii="Times New Roman;serif" w:hAnsi="Times New Roman;serif"/>
          <w:b w:val="false"/>
          <w:color w:val="000000"/>
          <w:sz w:val="24"/>
        </w:rPr>
        <w:t>) and Renasant Bank (the “</w:t>
      </w:r>
      <w:r>
        <w:rPr>
          <w:rFonts w:ascii="Times New Roman;serif" w:hAnsi="Times New Roman;serif"/>
          <w:b/>
          <w:i/>
          <w:color w:val="000000"/>
          <w:sz w:val="24"/>
        </w:rPr>
        <w:t>Bank</w:t>
      </w:r>
      <w:r>
        <w:rPr>
          <w:color w:val="000000"/>
        </w:rPr>
        <w:t>”</w:t>
      </w:r>
      <w:r>
        <w:rPr>
          <w:rFonts w:ascii="Times New Roman;serif" w:hAnsi="Times New Roman;serif"/>
          <w:b w:val="false"/>
          <w:color w:val="000000"/>
          <w:sz w:val="24"/>
        </w:rPr>
        <w:t>), a Mississippi financial institution and the principal subsidiary of Renasant Corporation, a Mississippi corporation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Bank, Company and Employee are parties to an Employment Agreement, effective as of April 1, 2025 (the “</w:t>
      </w:r>
      <w:r>
        <w:rPr>
          <w:rFonts w:ascii="Times New Roman;serif" w:hAnsi="Times New Roman;serif"/>
          <w:b/>
          <w:i/>
          <w:color w:val="000000"/>
          <w:sz w:val="24"/>
        </w:rPr>
        <w:t>Employment Agreement</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xml:space="preserve">, Bank, Company and Employee wish to amend the Employment Agreement. </w:t>
      </w:r>
    </w:p>
    <w:p>
      <w:pPr>
        <w:pStyle w:val="TextBody"/>
        <w:bidi w:val="0"/>
        <w:spacing w:lineRule="auto" w:line="288" w:before="0" w:after="240"/>
        <w:ind w:left="0" w:right="0" w:firstLine="720"/>
        <w:jc w:val="left"/>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contained herein and intending to be legally bound hereby, the parties hereby agree as follows:</w:t>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1.Section 3.2(a) of the Employment Agreement is restated in its entirety to read as follows: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 annual cash bonus opportunity with a target percentage equal to 75% of the Base Compensation and threshold and superior percentages consistent with other Bank and Company executives. The cash bonus will be subject to the rules under the Company’s Performance Based Rewards Plan, as the same may be amended, restated or replaced from time to time (the “Bonus Rules”); provided, however, that during the Term the Bonus Rules shall not be altered for Executive in any way that would have a reasonably understood adverse effect on Executive’s bonus amount or opportunity. Payments shall be measured and calculated based upon annual performance goals and in a manner consistent with that applicable to other executives of the Company and the Bank. For the 2025 calendar year, Executive will be eligible for an annual cash bonus which shall be calculated and paid consistent with the Bonus Rules (assuming, for purposes of Section 3.2 of the Performance Based Rewards Plan, that Executive entered the plan as of March 31, 2025). Executive’s annual cash bonus for the 2026 calendar year, if any, shall be paid at the time such bonuses would ordinarily be paid, but in no event later than March 15, 2027. Subject to Executive’s employment in good standing through, but ending as of, the end of the Term, Executive will be eligible for his Target Award (as defined under the Bonus Rules) for the 2027 calendar year, prorated based on the number of days employed in 2027, and paid at the time such bonuses would ordinarily be paid, but in no event later than March 15, 2028; provided, however, that if Executive’s employment with the Bank continues after the Term (whether due to an extension of this Agreement or as an at-will employee of the Bank), then Executive shall instead be eligible for an annual cash bonus for the 2027 calendar year determined under the Bonus Rules and paid at the time such bonuses would ordinarily be paid.</w:t>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2.The first paragraph of Section 5.2(a) of the Employment Agreement is restated in its entirety to read as follows:</w:t>
      </w:r>
    </w:p>
    <w:p>
      <w:pPr>
        <w:pStyle w:val="TextBody"/>
        <w:bidi w:val="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If Executive dies or becomes Disabled, this Agreement and Executive’s employment hereunder shall terminate (the date of Executive’s termination for any reason, his “Separation Date”), and the Company shall provide or pay to Executive (or to his estate): (a) the Mandated Amounts; (b) any Accrued Cash Bonus; (c) any unpaid portion of the Retention Bonus, payable as of Executive’s Separation Date, subject to any delay required under the provisions of Section 5.1 hereof; (d) any amount payable under the terms of the Bonus Rules for the 2025 or 2026 calendar year, as the case may be (if any), and (e) any amounts payable under the terms of the LTIP, as the case may be (if 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3.Section 5.7 of the Employment Agreement is restated in its entirety to read as follows: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 xml:space="preserve">Expiration of Agreement. </w:t>
      </w:r>
      <w:r>
        <w:rPr>
          <w:rFonts w:ascii="Times New Roman;serif" w:hAnsi="Times New Roman;serif"/>
          <w:b w:val="false"/>
          <w:color w:val="000000"/>
          <w:sz w:val="24"/>
        </w:rPr>
        <w:t>If this Agreement shall expire at the end of the Term, the Bank shall pay or provide the Mandated Amounts, any unpaid portion of the Retention Bonus and The First Equity Acceleration, a prorated annual cash bonus for the 2027 calendar year as described in Section 3.2(a) (subject to the proviso therein), and shall have no further obligation hereunder.</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4.Except as explicitly set forth herein, the Employment Agreement remains unchanged and in full force and effect. This First Amendment will be governed by, and construed and interpreted in accordance with, the laws of the State of Mississippi, without regarding to its conflicts of laws rules or principles.</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color w:val="000000"/>
          <w:sz w:val="24"/>
        </w:rPr>
        <w:t>IN WITNESS WHEREOF</w:t>
      </w:r>
      <w:r>
        <w:rPr>
          <w:rFonts w:ascii="Times New Roman;serif" w:hAnsi="Times New Roman;serif"/>
          <w:b w:val="false"/>
          <w:color w:val="000000"/>
          <w:sz w:val="24"/>
        </w:rPr>
        <w:t>, the undersigned have executed this First Amendment to be effective as of the last date below.</w:t>
      </w:r>
    </w:p>
    <w:p>
      <w:pPr>
        <w:pStyle w:val="TextBody"/>
        <w:bidi w:val="0"/>
        <w:spacing w:before="0" w:after="240"/>
        <w:jc w:val="left"/>
        <w:rPr/>
      </w:pPr>
      <w:r>
        <w:rPr/>
      </w:r>
    </w:p>
    <w:tbl>
      <w:tblPr>
        <w:tblW w:w="6090" w:type="dxa"/>
        <w:jc w:val="left"/>
        <w:tblInd w:w="0" w:type="dxa"/>
        <w:tblLayout w:type="fixed"/>
        <w:tblCellMar>
          <w:top w:w="28" w:type="dxa"/>
          <w:left w:w="28" w:type="dxa"/>
          <w:bottom w:w="28" w:type="dxa"/>
          <w:right w:w="28" w:type="dxa"/>
        </w:tblCellMar>
      </w:tblPr>
      <w:tblGrid>
        <w:gridCol w:w="797"/>
        <w:gridCol w:w="702"/>
        <w:gridCol w:w="706"/>
        <w:gridCol w:w="1136"/>
        <w:gridCol w:w="1136"/>
        <w:gridCol w:w="161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40"/>
              <w:jc w:val="left"/>
              <w:rPr/>
            </w:pPr>
            <w:r>
              <w:rPr/>
            </w:r>
          </w:p>
          <w:p>
            <w:pPr>
              <w:pStyle w:val="TableContents"/>
              <w:bidi w:val="0"/>
              <w:spacing w:before="0" w:after="240"/>
              <w:jc w:val="left"/>
              <w:rPr/>
            </w:pPr>
            <w:r>
              <w:rPr/>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Date: March 3, 2026</w:t>
            </w:r>
          </w:p>
        </w:tc>
        <w:tc>
          <w:tcPr>
            <w:tcW w:w="388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EXECUTIVE</w:t>
            </w:r>
          </w:p>
          <w:p>
            <w:pPr>
              <w:pStyle w:val="TableContents"/>
              <w:bidi w:val="0"/>
              <w:spacing w:before="0" w:after="240"/>
              <w:jc w:val="left"/>
              <w:rPr/>
            </w:pPr>
            <w:r>
              <w:rPr/>
            </w:r>
          </w:p>
          <w:p>
            <w:pPr>
              <w:pStyle w:val="TableContents"/>
              <w:bidi w:val="0"/>
              <w:spacing w:lineRule="auto" w:line="288" w:before="0" w:after="240"/>
              <w:jc w:val="left"/>
              <w:rPr/>
            </w:pPr>
            <w:r>
              <w:rPr>
                <w:color w:val="000000"/>
                <w:u w:val="single"/>
              </w:rPr>
              <w:t>  </w:t>
            </w:r>
            <w:r>
              <w:rPr>
                <w:rFonts w:ascii="Times New Roman;serif" w:hAnsi="Times New Roman;serif"/>
                <w:b w:val="false"/>
                <w:color w:val="000000"/>
                <w:sz w:val="24"/>
                <w:u w:val="single"/>
              </w:rPr>
              <w:t>/s/ M. Ray Hoppy Cole, Jr.                 </w:t>
              <w:br/>
            </w:r>
            <w:r>
              <w:rPr>
                <w:rFonts w:ascii="Times New Roman;serif" w:hAnsi="Times New Roman;serif"/>
                <w:b w:val="false"/>
                <w:color w:val="000000"/>
                <w:sz w:val="24"/>
              </w:rPr>
              <w:t>M. Ray (Hoppy) Cole, Jr.</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before="0" w:after="240"/>
              <w:jc w:val="left"/>
              <w:rPr/>
            </w:pPr>
            <w:r>
              <w:rPr/>
            </w:r>
          </w:p>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RENASANT BANK</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Date: March 11, 2026</w:t>
            </w:r>
          </w:p>
        </w:tc>
        <w:tc>
          <w:tcPr>
            <w:tcW w:w="3885" w:type="dxa"/>
            <w:gridSpan w:val="3"/>
            <w:tcBorders/>
            <w:tcMar>
              <w:top w:w="0" w:type="dxa"/>
              <w:left w:w="0" w:type="dxa"/>
              <w:bottom w:w="0" w:type="dxa"/>
              <w:right w:w="0" w:type="dxa"/>
            </w:tcMar>
            <w:vAlign w:val="center"/>
          </w:tcPr>
          <w:p>
            <w:pPr>
              <w:pStyle w:val="TableContents"/>
              <w:bidi w:val="0"/>
              <w:spacing w:lineRule="auto" w:line="288" w:before="0" w:after="240"/>
              <w:ind w:left="0" w:right="0" w:hanging="346"/>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Kevin D. Chapman                </w:t>
              <w:br/>
            </w:r>
            <w:r>
              <w:rPr>
                <w:rFonts w:ascii="Times New Roman;serif" w:hAnsi="Times New Roman;serif"/>
                <w:b w:val="false"/>
                <w:color w:val="000000"/>
                <w:sz w:val="24"/>
              </w:rPr>
              <w:t>Kevin D. Chapman</w:t>
              <w:br/>
              <w:t xml:space="preserve">President and Chief Executive Officer </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First Amendment]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to First Amendment]</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31(i)</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Kevin D. Chapman, certify that: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period ended March 31, 2026 of Renasant Corporation;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90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938"/>
        <w:gridCol w:w="938"/>
        <w:gridCol w:w="13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Chapman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Chapman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31(ii)</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James C. Mabry IV, certify that: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period ended March 31, 2026 of Renasant Corporation;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229"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741"/>
        <w:gridCol w:w="741"/>
        <w:gridCol w:w="10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Mabry IV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Mabry IV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32(i)</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Renasant Corporation (the “Company”) for the period ended March 31, 2026 as filed with the Securities and Exchange Commission on the date hereof (the “Report”), I, Kevin D. Chapman, Chief Executive Officer of the Company, certify pursuant to 18 U.S.C. Section 1350, as adopted pursuant to Section 906 of the Sarbanes-Oxley Act of 2002, that: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90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938"/>
        <w:gridCol w:w="938"/>
        <w:gridCol w:w="13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Chapman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Kevin D. Chapman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32(ii)</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Renasant Corporation (the “Company”) for the period ended March 31, 2026 as filed with the Securities and Exchange Commission on the date hereof (the “Report”), I, James C. Mabry IV, Chief Financial Officer of the Company, certify pursuant to 18 U.S.C. Section 1350, as adopted pursuant to Section 906 of the Sarbanes-Oxley Act of 2002, that: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229"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741"/>
        <w:gridCol w:w="741"/>
        <w:gridCol w:w="10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C. Mabry IV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 Mabry IV</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15072/000071507225000211/ex31restatedarticlesofin.htm" TargetMode="External"/><Relationship Id="rId3" Type="http://schemas.openxmlformats.org/officeDocument/2006/relationships/hyperlink" Target="https://www.sec.gov/Archives/edgar/data/715072/000119312524187608/d860233dex21.htm" TargetMode="External"/><Relationship Id="rId4" Type="http://schemas.openxmlformats.org/officeDocument/2006/relationships/hyperlink" Target="https://www.sec.gov/Archives/edgar/data/715072/000071507226000042/amendedandrestatedbylawsof.htm" TargetMode="External"/><Relationship Id="rId5" Type="http://schemas.openxmlformats.org/officeDocument/2006/relationships/hyperlink" Target="https://www.sec.gov/Archives/edgar/data/715072/000071507226000042/amendedandrestatedbylawsof.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47630</Words>
  <Characters>258153</Characters>
  <CharactersWithSpaces>303020</CharactersWithSpaces>
  <Paragraphs>8957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